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lang w:eastAsia="zh-CN"/>
        </w:rPr>
        <w:sectPr>
          <w:pgSz w:w="11906" w:h="16838"/>
          <w:pgMar w:top="1440" w:right="1800" w:bottom="1440" w:left="1800" w:header="851" w:footer="992" w:gutter="0"/>
          <w:pgNumType w:fmt="decimal"/>
          <w:cols w:space="425" w:num="1"/>
          <w:docGrid w:type="lines" w:linePitch="312" w:charSpace="0"/>
        </w:sectPr>
      </w:pPr>
      <w:bookmarkStart w:id="3" w:name="_GoBack"/>
      <w:bookmarkEnd w:id="3"/>
    </w:p>
    <w:p>
      <w:pPr>
        <w:pStyle w:val="4"/>
        <w:keepNext w:val="0"/>
        <w:keepLines w:val="0"/>
        <w:widowControl w:val="0"/>
        <w:shd w:val="clear" w:color="auto" w:fill="auto"/>
        <w:bidi w:val="0"/>
        <w:spacing w:before="140" w:after="240" w:line="240" w:lineRule="auto"/>
        <w:ind w:left="0" w:leftChars="0" w:right="0" w:firstLine="0" w:firstLineChars="0"/>
        <w:jc w:val="left"/>
        <w:rPr>
          <w:rFonts w:hint="eastAsia" w:ascii="仿宋" w:hAnsi="仿宋" w:eastAsia="仿宋" w:cs="仿宋"/>
        </w:rPr>
      </w:pPr>
      <w:r>
        <w:rPr>
          <w:rFonts w:hint="eastAsia" w:ascii="仿宋" w:hAnsi="仿宋" w:eastAsia="仿宋" w:cs="仿宋"/>
          <w:color w:val="000000"/>
          <w:spacing w:val="0"/>
          <w:w w:val="100"/>
          <w:position w:val="0"/>
        </w:rPr>
        <w:t>附件</w:t>
      </w:r>
      <w:r>
        <w:rPr>
          <w:rFonts w:hint="eastAsia" w:ascii="仿宋" w:hAnsi="仿宋" w:eastAsia="仿宋" w:cs="仿宋"/>
          <w:b/>
          <w:bCs/>
          <w:color w:val="000000"/>
          <w:spacing w:val="0"/>
          <w:w w:val="100"/>
          <w:position w:val="0"/>
        </w:rPr>
        <w:t>1</w:t>
      </w:r>
    </w:p>
    <w:p>
      <w:pPr>
        <w:pStyle w:val="5"/>
        <w:keepNext/>
        <w:keepLines/>
        <w:widowControl w:val="0"/>
        <w:shd w:val="clear" w:color="auto" w:fill="auto"/>
        <w:bidi w:val="0"/>
        <w:spacing w:before="0" w:after="160" w:line="240" w:lineRule="auto"/>
        <w:ind w:left="0" w:right="0" w:firstLine="0"/>
        <w:jc w:val="center"/>
        <w:rPr>
          <w:rFonts w:hint="eastAsia" w:ascii="华文中宋" w:hAnsi="华文中宋" w:eastAsia="华文中宋" w:cs="华文中宋"/>
        </w:rPr>
      </w:pPr>
      <w:bookmarkStart w:id="0" w:name="bookmark32"/>
      <w:bookmarkStart w:id="1" w:name="bookmark31"/>
      <w:bookmarkStart w:id="2" w:name="bookmark30"/>
      <w:r>
        <w:rPr>
          <w:rFonts w:hint="eastAsia" w:ascii="华文中宋" w:hAnsi="华文中宋" w:eastAsia="华文中宋" w:cs="华文中宋"/>
          <w:color w:val="000000"/>
          <w:spacing w:val="0"/>
          <w:w w:val="100"/>
          <w:position w:val="0"/>
          <w:lang w:eastAsia="zh-CN"/>
        </w:rPr>
        <w:t>富锦市</w:t>
      </w:r>
      <w:r>
        <w:rPr>
          <w:rFonts w:hint="eastAsia" w:ascii="华文中宋" w:hAnsi="华文中宋" w:eastAsia="华文中宋" w:cs="华文中宋"/>
          <w:color w:val="000000"/>
          <w:spacing w:val="0"/>
          <w:w w:val="100"/>
          <w:position w:val="0"/>
        </w:rPr>
        <w:t>地下水污染防治主要工作任务表</w:t>
      </w:r>
      <w:bookmarkEnd w:id="0"/>
      <w:bookmarkEnd w:id="1"/>
      <w:bookmarkEnd w:id="2"/>
    </w:p>
    <w:tbl>
      <w:tblPr>
        <w:tblStyle w:val="2"/>
        <w:tblW w:w="15414" w:type="dxa"/>
        <w:jc w:val="center"/>
        <w:tblLayout w:type="fixed"/>
        <w:tblCellMar>
          <w:top w:w="0" w:type="dxa"/>
          <w:left w:w="10" w:type="dxa"/>
          <w:bottom w:w="0" w:type="dxa"/>
          <w:right w:w="10" w:type="dxa"/>
        </w:tblCellMar>
      </w:tblPr>
      <w:tblGrid>
        <w:gridCol w:w="1320"/>
        <w:gridCol w:w="1662"/>
        <w:gridCol w:w="7038"/>
        <w:gridCol w:w="1392"/>
        <w:gridCol w:w="1703"/>
        <w:gridCol w:w="7"/>
        <w:gridCol w:w="2292"/>
      </w:tblGrid>
      <w:tr>
        <w:tblPrEx>
          <w:tblCellMar>
            <w:top w:w="0" w:type="dxa"/>
            <w:left w:w="10" w:type="dxa"/>
            <w:bottom w:w="0" w:type="dxa"/>
            <w:right w:w="10" w:type="dxa"/>
          </w:tblCellMar>
        </w:tblPrEx>
        <w:trPr>
          <w:trHeight w:val="690" w:hRule="exact"/>
          <w:jc w:val="center"/>
        </w:trPr>
        <w:tc>
          <w:tcPr>
            <w:gridSpan w:val="2"/>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highlight w:val="none"/>
              </w:rPr>
            </w:pPr>
            <w:r>
              <w:rPr>
                <w:rFonts w:hint="eastAsia" w:ascii="仿宋" w:hAnsi="仿宋" w:eastAsia="仿宋" w:cs="仿宋"/>
                <w:b/>
                <w:bCs/>
                <w:color w:val="000000"/>
                <w:spacing w:val="0"/>
                <w:w w:val="100"/>
                <w:position w:val="0"/>
                <w:sz w:val="24"/>
                <w:szCs w:val="24"/>
                <w:highlight w:val="none"/>
              </w:rPr>
              <w:t>主要任务</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highlight w:val="none"/>
              </w:rPr>
            </w:pPr>
            <w:r>
              <w:rPr>
                <w:rFonts w:hint="eastAsia" w:ascii="仿宋" w:hAnsi="仿宋" w:eastAsia="仿宋" w:cs="仿宋"/>
                <w:b/>
                <w:bCs/>
                <w:color w:val="000000"/>
                <w:spacing w:val="0"/>
                <w:w w:val="100"/>
                <w:position w:val="0"/>
                <w:sz w:val="24"/>
                <w:szCs w:val="24"/>
                <w:highlight w:val="none"/>
              </w:rPr>
              <w:t>具体工作要求</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highlight w:val="none"/>
              </w:rPr>
            </w:pPr>
            <w:r>
              <w:rPr>
                <w:rFonts w:hint="eastAsia" w:ascii="仿宋" w:hAnsi="仿宋" w:eastAsia="仿宋" w:cs="仿宋"/>
                <w:b/>
                <w:bCs/>
                <w:color w:val="000000"/>
                <w:spacing w:val="0"/>
                <w:w w:val="100"/>
                <w:position w:val="0"/>
                <w:sz w:val="24"/>
                <w:szCs w:val="24"/>
                <w:highlight w:val="none"/>
              </w:rPr>
              <w:t>时限要求</w:t>
            </w:r>
          </w:p>
        </w:tc>
        <w:tc>
          <w:tcPr>
            <w:gridSpan w:val="2"/>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highlight w:val="none"/>
              </w:rPr>
            </w:pPr>
            <w:r>
              <w:rPr>
                <w:rFonts w:hint="eastAsia" w:ascii="仿宋" w:hAnsi="仿宋" w:eastAsia="仿宋" w:cs="仿宋"/>
                <w:b/>
                <w:bCs/>
                <w:color w:val="000000"/>
                <w:spacing w:val="0"/>
                <w:w w:val="100"/>
                <w:position w:val="0"/>
                <w:sz w:val="24"/>
                <w:szCs w:val="24"/>
                <w:highlight w:val="none"/>
              </w:rPr>
              <w:t>牵头单位</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highlight w:val="none"/>
              </w:rPr>
            </w:pPr>
            <w:r>
              <w:rPr>
                <w:rFonts w:hint="eastAsia" w:ascii="仿宋" w:hAnsi="仿宋" w:eastAsia="仿宋" w:cs="仿宋"/>
                <w:b/>
                <w:bCs/>
                <w:color w:val="000000"/>
                <w:spacing w:val="0"/>
                <w:w w:val="100"/>
                <w:position w:val="0"/>
                <w:sz w:val="24"/>
                <w:szCs w:val="24"/>
                <w:highlight w:val="none"/>
              </w:rPr>
              <w:t>参与单位</w:t>
            </w:r>
          </w:p>
        </w:tc>
      </w:tr>
      <w:tr>
        <w:tblPrEx>
          <w:tblCellMar>
            <w:top w:w="0" w:type="dxa"/>
            <w:left w:w="10" w:type="dxa"/>
            <w:bottom w:w="0" w:type="dxa"/>
            <w:right w:w="10" w:type="dxa"/>
          </w:tblCellMar>
        </w:tblPrEx>
        <w:trPr>
          <w:trHeight w:val="1567" w:hRule="exact"/>
          <w:jc w:val="center"/>
        </w:trPr>
        <w:tc>
          <w:tcPr>
            <w:tcW w:w="1320" w:type="dxa"/>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22" w:lineRule="exact"/>
              <w:ind w:left="0" w:right="0" w:firstLine="0"/>
              <w:jc w:val="center"/>
              <w:rPr>
                <w:rFonts w:hint="eastAsia" w:ascii="仿宋" w:hAnsi="仿宋" w:eastAsia="仿宋" w:cs="仿宋"/>
                <w:color w:val="000000"/>
                <w:spacing w:val="0"/>
                <w:w w:val="100"/>
                <w:position w:val="0"/>
                <w:sz w:val="24"/>
                <w:szCs w:val="24"/>
                <w:highlight w:val="none"/>
              </w:rPr>
            </w:pPr>
            <w:r>
              <w:rPr>
                <w:rFonts w:hint="eastAsia" w:ascii="仿宋" w:hAnsi="仿宋" w:eastAsia="仿宋" w:cs="仿宋"/>
                <w:color w:val="000000"/>
                <w:spacing w:val="0"/>
                <w:w w:val="100"/>
                <w:position w:val="0"/>
                <w:sz w:val="24"/>
                <w:szCs w:val="24"/>
                <w:highlight w:val="none"/>
              </w:rPr>
              <w:t>（一）保障地下水型饮用水源环境安全</w:t>
            </w: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18" w:lineRule="exact"/>
              <w:ind w:left="0" w:right="0" w:firstLine="0"/>
              <w:jc w:val="center"/>
              <w:rPr>
                <w:rFonts w:hint="eastAsia" w:ascii="仿宋" w:hAnsi="仿宋" w:eastAsia="仿宋" w:cs="仿宋"/>
                <w:sz w:val="24"/>
                <w:szCs w:val="24"/>
                <w:highlight w:val="none"/>
              </w:rPr>
            </w:pPr>
            <w:r>
              <w:rPr>
                <w:rFonts w:hint="eastAsia" w:ascii="仿宋" w:hAnsi="仿宋" w:eastAsia="仿宋" w:cs="仿宋"/>
                <w:b/>
                <w:bCs/>
                <w:color w:val="000000"/>
                <w:spacing w:val="0"/>
                <w:w w:val="100"/>
                <w:position w:val="0"/>
                <w:sz w:val="24"/>
                <w:szCs w:val="24"/>
                <w:highlight w:val="none"/>
                <w:lang w:val="en-US" w:eastAsia="en-US" w:bidi="en-US"/>
              </w:rPr>
              <w:t>1.</w:t>
            </w:r>
            <w:r>
              <w:rPr>
                <w:rFonts w:hint="eastAsia" w:ascii="仿宋" w:hAnsi="仿宋" w:eastAsia="仿宋" w:cs="仿宋"/>
                <w:b/>
                <w:bCs/>
                <w:color w:val="000000"/>
                <w:spacing w:val="0"/>
                <w:w w:val="100"/>
                <w:position w:val="0"/>
                <w:sz w:val="24"/>
                <w:szCs w:val="24"/>
                <w:highlight w:val="none"/>
              </w:rPr>
              <w:t>加强城镇地下水型饮用水水源规范化建设</w:t>
            </w: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318" w:lineRule="exact"/>
              <w:ind w:left="0" w:right="0" w:firstLine="0"/>
              <w:jc w:val="left"/>
              <w:rPr>
                <w:rFonts w:hint="eastAsia" w:ascii="仿宋" w:hAnsi="仿宋" w:eastAsia="仿宋" w:cs="仿宋"/>
                <w:sz w:val="24"/>
                <w:szCs w:val="24"/>
                <w:highlight w:val="none"/>
              </w:rPr>
            </w:pPr>
            <w:r>
              <w:rPr>
                <w:rFonts w:hint="eastAsia" w:ascii="仿宋" w:hAnsi="仿宋" w:eastAsia="仿宋" w:cs="仿宋"/>
                <w:color w:val="000000"/>
                <w:spacing w:val="0"/>
                <w:w w:val="100"/>
                <w:position w:val="0"/>
                <w:sz w:val="24"/>
                <w:szCs w:val="24"/>
                <w:highlight w:val="none"/>
              </w:rPr>
              <w:t>①在开展评估的基础上，对县级以上集中式地下水型饮用水源地要按照相关</w:t>
            </w:r>
            <w:r>
              <w:rPr>
                <w:rFonts w:hint="eastAsia" w:ascii="仿宋" w:hAnsi="仿宋" w:eastAsia="仿宋" w:cs="仿宋"/>
                <w:color w:val="000000"/>
                <w:spacing w:val="0"/>
                <w:w w:val="100"/>
                <w:position w:val="0"/>
                <w:sz w:val="24"/>
                <w:szCs w:val="24"/>
                <w:highlight w:val="none"/>
                <w:lang w:eastAsia="zh-CN"/>
              </w:rPr>
              <w:t>：</w:t>
            </w:r>
            <w:r>
              <w:rPr>
                <w:rFonts w:hint="eastAsia" w:ascii="仿宋" w:hAnsi="仿宋" w:eastAsia="仿宋" w:cs="仿宋"/>
                <w:color w:val="000000"/>
                <w:spacing w:val="0"/>
                <w:w w:val="100"/>
                <w:position w:val="0"/>
                <w:sz w:val="24"/>
                <w:szCs w:val="24"/>
                <w:highlight w:val="none"/>
              </w:rPr>
              <w:t>划定技术规范，严格划定保护区、补给区等范围。对人为污染造成水质超标的地下水型饮用水源，</w:t>
            </w:r>
            <w:r>
              <w:rPr>
                <w:rFonts w:hint="eastAsia" w:ascii="仿宋" w:hAnsi="仿宋" w:eastAsia="仿宋" w:cs="仿宋"/>
                <w:color w:val="000000"/>
                <w:spacing w:val="0"/>
                <w:w w:val="100"/>
                <w:position w:val="0"/>
                <w:sz w:val="24"/>
                <w:szCs w:val="24"/>
                <w:highlight w:val="none"/>
                <w:lang w:eastAsia="zh-CN"/>
              </w:rPr>
              <w:t>市政府</w:t>
            </w:r>
            <w:r>
              <w:rPr>
                <w:rFonts w:hint="eastAsia" w:ascii="仿宋" w:hAnsi="仿宋" w:eastAsia="仿宋" w:cs="仿宋"/>
                <w:color w:val="000000"/>
                <w:spacing w:val="0"/>
                <w:w w:val="100"/>
                <w:position w:val="0"/>
                <w:sz w:val="24"/>
                <w:szCs w:val="24"/>
                <w:highlight w:val="none"/>
              </w:rPr>
              <w:t>要组织制定、实施地下水修复（防控）方案，开展地下水污染修复（防控）工程示范。</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36" w:lineRule="exact"/>
              <w:ind w:left="0" w:right="0" w:firstLine="0"/>
              <w:jc w:val="center"/>
              <w:rPr>
                <w:rFonts w:hint="eastAsia" w:ascii="仿宋" w:hAnsi="仿宋" w:eastAsia="仿宋" w:cs="仿宋"/>
                <w:sz w:val="24"/>
                <w:szCs w:val="24"/>
                <w:highlight w:val="none"/>
              </w:rPr>
            </w:pPr>
            <w:r>
              <w:rPr>
                <w:rFonts w:hint="eastAsia" w:ascii="仿宋" w:hAnsi="仿宋" w:eastAsia="仿宋" w:cs="仿宋"/>
                <w:color w:val="000000"/>
                <w:spacing w:val="0"/>
                <w:w w:val="100"/>
                <w:position w:val="0"/>
                <w:sz w:val="24"/>
                <w:szCs w:val="24"/>
                <w:highlight w:val="none"/>
              </w:rPr>
              <w:t>202</w:t>
            </w:r>
            <w:r>
              <w:rPr>
                <w:rFonts w:hint="eastAsia" w:ascii="仿宋" w:hAnsi="仿宋" w:eastAsia="仿宋" w:cs="仿宋"/>
                <w:color w:val="000000"/>
                <w:spacing w:val="0"/>
                <w:w w:val="100"/>
                <w:position w:val="0"/>
                <w:sz w:val="24"/>
                <w:szCs w:val="24"/>
                <w:highlight w:val="none"/>
                <w:lang w:val="en-US" w:eastAsia="zh-CN"/>
              </w:rPr>
              <w:t>1</w:t>
            </w:r>
            <w:r>
              <w:rPr>
                <w:rFonts w:hint="eastAsia" w:ascii="仿宋" w:hAnsi="仿宋" w:eastAsia="仿宋" w:cs="仿宋"/>
                <w:color w:val="000000"/>
                <w:spacing w:val="0"/>
                <w:w w:val="100"/>
                <w:position w:val="0"/>
                <w:sz w:val="24"/>
                <w:szCs w:val="24"/>
                <w:highlight w:val="none"/>
              </w:rPr>
              <w:t>年启动</w:t>
            </w:r>
          </w:p>
        </w:tc>
        <w:tc>
          <w:tcPr>
            <w:gridSpan w:val="2"/>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00"/>
              <w:jc w:val="left"/>
              <w:rPr>
                <w:rFonts w:hint="eastAsia" w:ascii="仿宋" w:hAnsi="仿宋" w:eastAsia="仿宋" w:cs="仿宋"/>
                <w:sz w:val="24"/>
                <w:szCs w:val="24"/>
                <w:highlight w:val="none"/>
                <w:lang w:eastAsia="zh-CN"/>
              </w:rPr>
            </w:pPr>
            <w:r>
              <w:rPr>
                <w:rFonts w:hint="eastAsia" w:ascii="仿宋" w:hAnsi="仿宋" w:eastAsia="仿宋" w:cs="仿宋"/>
                <w:color w:val="000000"/>
                <w:spacing w:val="0"/>
                <w:w w:val="100"/>
                <w:position w:val="0"/>
                <w:sz w:val="24"/>
                <w:szCs w:val="24"/>
                <w:highlight w:val="none"/>
                <w:lang w:eastAsia="zh-CN"/>
              </w:rPr>
              <w:t>富锦市人民政府</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15" w:lineRule="exact"/>
              <w:ind w:left="0" w:right="0" w:firstLine="0"/>
              <w:jc w:val="center"/>
              <w:rPr>
                <w:rFonts w:hint="eastAsia" w:ascii="仿宋" w:hAnsi="仿宋" w:eastAsia="仿宋" w:cs="仿宋"/>
                <w:sz w:val="24"/>
                <w:szCs w:val="24"/>
                <w:highlight w:val="none"/>
              </w:rPr>
            </w:pPr>
            <w:r>
              <w:rPr>
                <w:rFonts w:hint="eastAsia" w:ascii="仿宋" w:hAnsi="仿宋" w:eastAsia="仿宋" w:cs="仿宋"/>
                <w:color w:val="000000"/>
                <w:spacing w:val="0"/>
                <w:w w:val="100"/>
                <w:position w:val="0"/>
                <w:sz w:val="24"/>
                <w:szCs w:val="24"/>
                <w:highlight w:val="none"/>
                <w:lang w:eastAsia="zh-CN"/>
              </w:rPr>
              <w:t>佳木斯市富锦生态环境局</w:t>
            </w:r>
            <w:r>
              <w:rPr>
                <w:rFonts w:hint="eastAsia" w:ascii="仿宋" w:hAnsi="仿宋" w:eastAsia="仿宋" w:cs="仿宋"/>
                <w:sz w:val="32"/>
                <w:szCs w:val="32"/>
                <w:lang w:eastAsia="zh-CN"/>
              </w:rPr>
              <w:t>，</w:t>
            </w:r>
            <w:r>
              <w:rPr>
                <w:rFonts w:hint="eastAsia" w:ascii="仿宋" w:hAnsi="仿宋" w:eastAsia="仿宋" w:cs="仿宋"/>
                <w:color w:val="000000"/>
                <w:spacing w:val="0"/>
                <w:w w:val="100"/>
                <w:position w:val="0"/>
                <w:sz w:val="24"/>
                <w:szCs w:val="24"/>
                <w:highlight w:val="none"/>
                <w:lang w:eastAsia="zh-CN"/>
              </w:rPr>
              <w:t>市水务局</w:t>
            </w:r>
            <w:r>
              <w:rPr>
                <w:rFonts w:hint="eastAsia" w:ascii="仿宋" w:hAnsi="仿宋" w:eastAsia="仿宋" w:cs="仿宋"/>
                <w:color w:val="000000"/>
                <w:spacing w:val="0"/>
                <w:w w:val="100"/>
                <w:position w:val="0"/>
                <w:sz w:val="24"/>
                <w:szCs w:val="24"/>
                <w:highlight w:val="none"/>
              </w:rPr>
              <w:t>、</w:t>
            </w:r>
            <w:r>
              <w:rPr>
                <w:rFonts w:hint="eastAsia" w:ascii="仿宋" w:hAnsi="仿宋" w:eastAsia="仿宋" w:cs="仿宋"/>
                <w:color w:val="000000"/>
                <w:spacing w:val="0"/>
                <w:w w:val="100"/>
                <w:position w:val="0"/>
                <w:sz w:val="24"/>
                <w:szCs w:val="24"/>
                <w:highlight w:val="none"/>
                <w:lang w:eastAsia="zh-CN"/>
              </w:rPr>
              <w:t>市</w:t>
            </w:r>
            <w:r>
              <w:rPr>
                <w:rFonts w:hint="eastAsia" w:ascii="仿宋" w:hAnsi="仿宋" w:eastAsia="仿宋" w:cs="仿宋"/>
                <w:color w:val="000000"/>
                <w:spacing w:val="0"/>
                <w:w w:val="100"/>
                <w:position w:val="0"/>
                <w:sz w:val="24"/>
                <w:szCs w:val="24"/>
                <w:highlight w:val="none"/>
              </w:rPr>
              <w:t>自然资源</w:t>
            </w:r>
            <w:r>
              <w:rPr>
                <w:rFonts w:hint="eastAsia" w:ascii="仿宋" w:hAnsi="仿宋" w:eastAsia="仿宋" w:cs="仿宋"/>
                <w:color w:val="000000"/>
                <w:spacing w:val="0"/>
                <w:w w:val="100"/>
                <w:position w:val="0"/>
                <w:sz w:val="24"/>
                <w:szCs w:val="24"/>
                <w:highlight w:val="none"/>
                <w:lang w:eastAsia="zh-CN"/>
              </w:rPr>
              <w:t>局</w:t>
            </w:r>
            <w:r>
              <w:rPr>
                <w:rFonts w:hint="eastAsia" w:ascii="仿宋" w:hAnsi="仿宋" w:eastAsia="仿宋" w:cs="仿宋"/>
                <w:color w:val="000000"/>
                <w:spacing w:val="0"/>
                <w:w w:val="100"/>
                <w:position w:val="0"/>
                <w:sz w:val="24"/>
                <w:szCs w:val="24"/>
                <w:highlight w:val="none"/>
              </w:rPr>
              <w:t>、</w:t>
            </w:r>
            <w:r>
              <w:rPr>
                <w:rFonts w:hint="eastAsia" w:ascii="仿宋" w:hAnsi="仿宋" w:eastAsia="仿宋" w:cs="仿宋"/>
                <w:color w:val="000000"/>
                <w:spacing w:val="0"/>
                <w:w w:val="100"/>
                <w:position w:val="0"/>
                <w:sz w:val="24"/>
                <w:szCs w:val="24"/>
                <w:highlight w:val="none"/>
                <w:lang w:eastAsia="zh-CN"/>
              </w:rPr>
              <w:t>市</w:t>
            </w:r>
            <w:r>
              <w:rPr>
                <w:rFonts w:hint="eastAsia" w:ascii="仿宋" w:hAnsi="仿宋" w:eastAsia="仿宋" w:cs="仿宋"/>
                <w:color w:val="000000"/>
                <w:spacing w:val="0"/>
                <w:w w:val="100"/>
                <w:position w:val="0"/>
                <w:sz w:val="24"/>
                <w:szCs w:val="24"/>
                <w:highlight w:val="none"/>
              </w:rPr>
              <w:t>住房和城乡建设</w:t>
            </w:r>
            <w:r>
              <w:rPr>
                <w:rFonts w:hint="eastAsia" w:ascii="仿宋" w:hAnsi="仿宋" w:eastAsia="仿宋" w:cs="仿宋"/>
                <w:color w:val="000000"/>
                <w:spacing w:val="0"/>
                <w:w w:val="100"/>
                <w:position w:val="0"/>
                <w:sz w:val="24"/>
                <w:szCs w:val="24"/>
                <w:highlight w:val="none"/>
                <w:lang w:eastAsia="zh-CN"/>
              </w:rPr>
              <w:t>局</w:t>
            </w:r>
            <w:r>
              <w:rPr>
                <w:rFonts w:hint="eastAsia" w:ascii="仿宋" w:hAnsi="仿宋" w:eastAsia="仿宋" w:cs="仿宋"/>
                <w:color w:val="000000"/>
                <w:spacing w:val="0"/>
                <w:w w:val="100"/>
                <w:position w:val="0"/>
                <w:sz w:val="24"/>
                <w:szCs w:val="24"/>
                <w:highlight w:val="none"/>
              </w:rPr>
              <w:t>、</w:t>
            </w:r>
            <w:r>
              <w:rPr>
                <w:rFonts w:hint="eastAsia" w:ascii="仿宋" w:hAnsi="仿宋" w:eastAsia="仿宋" w:cs="仿宋"/>
                <w:color w:val="000000"/>
                <w:spacing w:val="0"/>
                <w:w w:val="100"/>
                <w:position w:val="0"/>
                <w:sz w:val="24"/>
                <w:szCs w:val="24"/>
                <w:highlight w:val="none"/>
                <w:lang w:eastAsia="zh-CN"/>
              </w:rPr>
              <w:t>市卫生健康局</w:t>
            </w:r>
            <w:r>
              <w:rPr>
                <w:rFonts w:hint="eastAsia" w:ascii="仿宋" w:hAnsi="仿宋" w:eastAsia="仿宋" w:cs="仿宋"/>
                <w:color w:val="000000"/>
                <w:spacing w:val="0"/>
                <w:w w:val="100"/>
                <w:position w:val="0"/>
                <w:sz w:val="24"/>
                <w:szCs w:val="24"/>
                <w:highlight w:val="none"/>
              </w:rPr>
              <w:t>等</w:t>
            </w:r>
          </w:p>
        </w:tc>
      </w:tr>
      <w:tr>
        <w:tblPrEx>
          <w:tblCellMar>
            <w:top w:w="0" w:type="dxa"/>
            <w:left w:w="10" w:type="dxa"/>
            <w:bottom w:w="0" w:type="dxa"/>
            <w:right w:w="10" w:type="dxa"/>
          </w:tblCellMar>
        </w:tblPrEx>
        <w:trPr>
          <w:trHeight w:val="879" w:hRule="exact"/>
          <w:jc w:val="center"/>
        </w:trPr>
        <w:tc>
          <w:tcPr>
            <w:tcW w:w="1320" w:type="dxa"/>
            <w:vMerge w:val="continue"/>
            <w:tcBorders>
              <w:left w:val="single" w:color="auto" w:sz="4" w:space="0"/>
            </w:tcBorders>
            <w:shd w:val="clear" w:color="auto" w:fill="FFFFFF"/>
            <w:vAlign w:val="center"/>
          </w:tcPr>
          <w:p>
            <w:pPr>
              <w:rPr>
                <w:rFonts w:hint="eastAsia" w:ascii="仿宋" w:hAnsi="仿宋" w:eastAsia="仿宋" w:cs="仿宋"/>
                <w:sz w:val="24"/>
                <w:szCs w:val="24"/>
                <w:highlight w:val="none"/>
              </w:rPr>
            </w:pPr>
          </w:p>
        </w:tc>
        <w:tc>
          <w:tcPr>
            <w:vMerge w:val="continue"/>
            <w:tcBorders>
              <w:left w:val="single" w:color="auto" w:sz="4" w:space="0"/>
            </w:tcBorders>
            <w:shd w:val="clear" w:color="auto" w:fill="FFFFFF"/>
            <w:vAlign w:val="center"/>
          </w:tcPr>
          <w:p>
            <w:pPr>
              <w:rPr>
                <w:rFonts w:hint="eastAsia" w:ascii="仿宋" w:hAnsi="仿宋" w:eastAsia="仿宋" w:cs="仿宋"/>
                <w:sz w:val="24"/>
                <w:szCs w:val="24"/>
                <w:highlight w:val="none"/>
              </w:rPr>
            </w:pP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18" w:lineRule="exact"/>
              <w:ind w:left="0" w:right="0" w:firstLine="0"/>
              <w:jc w:val="both"/>
              <w:rPr>
                <w:rFonts w:hint="eastAsia" w:ascii="仿宋" w:hAnsi="仿宋" w:eastAsia="仿宋" w:cs="仿宋"/>
                <w:sz w:val="24"/>
                <w:szCs w:val="24"/>
                <w:highlight w:val="none"/>
              </w:rPr>
            </w:pPr>
            <w:r>
              <w:rPr>
                <w:rFonts w:hint="eastAsia" w:ascii="仿宋" w:hAnsi="仿宋" w:eastAsia="仿宋" w:cs="仿宋"/>
                <w:color w:val="000000"/>
                <w:spacing w:val="0"/>
                <w:w w:val="100"/>
                <w:position w:val="0"/>
                <w:sz w:val="24"/>
                <w:szCs w:val="24"/>
                <w:highlight w:val="none"/>
              </w:rPr>
              <w:t>②对可能影响水源环境安全的风险源开展排查，依法清理水源保护区内环境违法问题。</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80" w:line="240" w:lineRule="auto"/>
              <w:ind w:left="0" w:right="0" w:firstLine="0"/>
              <w:jc w:val="center"/>
              <w:rPr>
                <w:rFonts w:hint="eastAsia" w:ascii="仿宋" w:hAnsi="仿宋" w:eastAsia="仿宋" w:cs="仿宋"/>
                <w:sz w:val="24"/>
                <w:szCs w:val="24"/>
                <w:highlight w:val="none"/>
              </w:rPr>
            </w:pPr>
            <w:r>
              <w:rPr>
                <w:rFonts w:hint="eastAsia" w:ascii="仿宋" w:hAnsi="仿宋" w:eastAsia="仿宋" w:cs="仿宋"/>
                <w:color w:val="000000"/>
                <w:spacing w:val="0"/>
                <w:w w:val="100"/>
                <w:position w:val="0"/>
                <w:sz w:val="24"/>
                <w:szCs w:val="24"/>
                <w:highlight w:val="none"/>
              </w:rPr>
              <w:t>202</w:t>
            </w:r>
            <w:r>
              <w:rPr>
                <w:rFonts w:hint="eastAsia" w:ascii="仿宋" w:hAnsi="仿宋" w:eastAsia="仿宋" w:cs="仿宋"/>
                <w:color w:val="000000"/>
                <w:spacing w:val="0"/>
                <w:w w:val="100"/>
                <w:position w:val="0"/>
                <w:sz w:val="24"/>
                <w:szCs w:val="24"/>
                <w:highlight w:val="none"/>
                <w:lang w:val="en-US" w:eastAsia="zh-CN"/>
              </w:rPr>
              <w:t>1</w:t>
            </w:r>
            <w:r>
              <w:rPr>
                <w:rFonts w:hint="eastAsia" w:ascii="仿宋" w:hAnsi="仿宋" w:eastAsia="仿宋" w:cs="仿宋"/>
                <w:color w:val="000000"/>
                <w:spacing w:val="0"/>
                <w:w w:val="100"/>
                <w:position w:val="0"/>
                <w:sz w:val="24"/>
                <w:szCs w:val="24"/>
                <w:highlight w:val="none"/>
              </w:rPr>
              <w:t>年</w:t>
            </w:r>
          </w:p>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highlight w:val="none"/>
              </w:rPr>
            </w:pPr>
            <w:r>
              <w:rPr>
                <w:rFonts w:hint="eastAsia" w:ascii="仿宋" w:hAnsi="仿宋" w:eastAsia="仿宋" w:cs="仿宋"/>
                <w:color w:val="000000"/>
                <w:spacing w:val="0"/>
                <w:w w:val="100"/>
                <w:position w:val="0"/>
                <w:sz w:val="24"/>
                <w:szCs w:val="24"/>
                <w:highlight w:val="none"/>
              </w:rPr>
              <w:t>年底前</w:t>
            </w:r>
          </w:p>
        </w:tc>
        <w:tc>
          <w:tcPr>
            <w:gridSpan w:val="2"/>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00"/>
              <w:jc w:val="left"/>
              <w:rPr>
                <w:rFonts w:hint="eastAsia" w:ascii="仿宋" w:hAnsi="仿宋" w:eastAsia="仿宋" w:cs="仿宋"/>
                <w:sz w:val="24"/>
                <w:szCs w:val="24"/>
                <w:highlight w:val="none"/>
              </w:rPr>
            </w:pPr>
            <w:r>
              <w:rPr>
                <w:rFonts w:hint="eastAsia" w:ascii="仿宋" w:hAnsi="仿宋" w:eastAsia="仿宋" w:cs="仿宋"/>
                <w:color w:val="000000"/>
                <w:spacing w:val="0"/>
                <w:w w:val="100"/>
                <w:position w:val="0"/>
                <w:sz w:val="24"/>
                <w:szCs w:val="24"/>
                <w:highlight w:val="none"/>
                <w:lang w:eastAsia="zh-CN"/>
              </w:rPr>
              <w:t>富锦市人民政府</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default" w:ascii="仿宋" w:hAnsi="仿宋" w:eastAsia="仿宋" w:cs="仿宋"/>
                <w:sz w:val="24"/>
                <w:szCs w:val="24"/>
                <w:highlight w:val="none"/>
                <w:lang w:val="en-US" w:eastAsia="zh-CN"/>
              </w:rPr>
            </w:pPr>
            <w:r>
              <w:rPr>
                <w:rFonts w:hint="eastAsia" w:ascii="仿宋" w:hAnsi="仿宋" w:eastAsia="仿宋" w:cs="仿宋"/>
                <w:color w:val="000000"/>
                <w:spacing w:val="0"/>
                <w:w w:val="100"/>
                <w:position w:val="0"/>
                <w:sz w:val="24"/>
                <w:szCs w:val="24"/>
                <w:highlight w:val="none"/>
                <w:lang w:eastAsia="zh-CN"/>
              </w:rPr>
              <w:t>佳木斯市富锦生态环境局</w:t>
            </w:r>
          </w:p>
        </w:tc>
      </w:tr>
      <w:tr>
        <w:tblPrEx>
          <w:tblCellMar>
            <w:top w:w="0" w:type="dxa"/>
            <w:left w:w="10" w:type="dxa"/>
            <w:bottom w:w="0" w:type="dxa"/>
            <w:right w:w="10" w:type="dxa"/>
          </w:tblCellMar>
        </w:tblPrEx>
        <w:trPr>
          <w:trHeight w:val="1356" w:hRule="exact"/>
          <w:jc w:val="center"/>
        </w:trPr>
        <w:tc>
          <w:tcPr>
            <w:tcW w:w="1320" w:type="dxa"/>
            <w:vMerge w:val="continue"/>
            <w:tcBorders>
              <w:left w:val="single" w:color="auto" w:sz="4" w:space="0"/>
            </w:tcBorders>
            <w:shd w:val="clear" w:color="auto" w:fill="FFFFFF"/>
            <w:vAlign w:val="center"/>
          </w:tcPr>
          <w:p>
            <w:pPr>
              <w:rPr>
                <w:rFonts w:hint="eastAsia" w:ascii="仿宋" w:hAnsi="仿宋" w:eastAsia="仿宋" w:cs="仿宋"/>
                <w:sz w:val="24"/>
                <w:szCs w:val="24"/>
                <w:highlight w:val="none"/>
              </w:rPr>
            </w:pPr>
          </w:p>
        </w:tc>
        <w:tc>
          <w:tcPr>
            <w:vMerge w:val="continue"/>
            <w:tcBorders>
              <w:left w:val="single" w:color="auto" w:sz="4" w:space="0"/>
            </w:tcBorders>
            <w:shd w:val="clear" w:color="auto" w:fill="FFFFFF"/>
            <w:vAlign w:val="center"/>
          </w:tcPr>
          <w:p>
            <w:pPr>
              <w:rPr>
                <w:rFonts w:hint="eastAsia" w:ascii="仿宋" w:hAnsi="仿宋" w:eastAsia="仿宋" w:cs="仿宋"/>
                <w:sz w:val="24"/>
                <w:szCs w:val="24"/>
                <w:highlight w:val="none"/>
              </w:rPr>
            </w:pPr>
          </w:p>
        </w:tc>
        <w:tc>
          <w:tcPr>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321" w:lineRule="exact"/>
              <w:ind w:left="0" w:right="0" w:firstLine="0"/>
              <w:jc w:val="both"/>
              <w:rPr>
                <w:rFonts w:hint="eastAsia" w:ascii="仿宋" w:hAnsi="仿宋" w:eastAsia="仿宋" w:cs="仿宋"/>
                <w:sz w:val="24"/>
                <w:szCs w:val="24"/>
                <w:highlight w:val="none"/>
              </w:rPr>
            </w:pPr>
            <w:r>
              <w:rPr>
                <w:rFonts w:hint="eastAsia" w:ascii="仿宋" w:hAnsi="仿宋" w:eastAsia="仿宋" w:cs="仿宋"/>
                <w:color w:val="000000"/>
                <w:spacing w:val="0"/>
                <w:w w:val="100"/>
                <w:position w:val="0"/>
                <w:sz w:val="24"/>
                <w:szCs w:val="24"/>
                <w:highlight w:val="none"/>
              </w:rPr>
              <w:t>③在城镇公共供水管网覆盖范围内不再批准新建地下水型饮用水水源，逐步取消城镇在用地下水型饮用水水源。对难以恢复饮用水源功能且经水厂处理水质无法满足标准要求的水源，应按程序撤销、更换.</w:t>
            </w:r>
          </w:p>
        </w:tc>
        <w:tc>
          <w:tcPr>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highlight w:val="none"/>
              </w:rPr>
            </w:pPr>
            <w:r>
              <w:rPr>
                <w:rFonts w:hint="eastAsia" w:ascii="仿宋" w:hAnsi="仿宋" w:eastAsia="仿宋" w:cs="仿宋"/>
                <w:color w:val="000000"/>
                <w:spacing w:val="0"/>
                <w:w w:val="100"/>
                <w:position w:val="0"/>
                <w:sz w:val="24"/>
                <w:szCs w:val="24"/>
                <w:highlight w:val="none"/>
              </w:rPr>
              <w:t>持续推进</w:t>
            </w:r>
          </w:p>
        </w:tc>
        <w:tc>
          <w:tcPr>
            <w:gridSpan w:val="2"/>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330" w:lineRule="exact"/>
              <w:ind w:left="0" w:right="0" w:firstLine="0"/>
              <w:jc w:val="center"/>
              <w:rPr>
                <w:rFonts w:hint="eastAsia" w:ascii="仿宋" w:hAnsi="仿宋" w:eastAsia="仿宋" w:cs="仿宋"/>
                <w:sz w:val="24"/>
                <w:szCs w:val="24"/>
                <w:highlight w:val="none"/>
                <w:lang w:eastAsia="zh-CN"/>
              </w:rPr>
            </w:pPr>
            <w:r>
              <w:rPr>
                <w:rFonts w:hint="eastAsia" w:ascii="仿宋" w:hAnsi="仿宋" w:eastAsia="仿宋" w:cs="仿宋"/>
                <w:color w:val="000000"/>
                <w:spacing w:val="0"/>
                <w:w w:val="100"/>
                <w:position w:val="0"/>
                <w:sz w:val="24"/>
                <w:szCs w:val="24"/>
                <w:highlight w:val="none"/>
                <w:lang w:eastAsia="zh-CN"/>
              </w:rPr>
              <w:t>富锦市人民政府</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highlight w:val="none"/>
              </w:rPr>
            </w:pPr>
            <w:r>
              <w:rPr>
                <w:rFonts w:hint="eastAsia" w:ascii="仿宋" w:hAnsi="仿宋" w:eastAsia="仿宋" w:cs="仿宋"/>
                <w:color w:val="000000"/>
                <w:spacing w:val="0"/>
                <w:w w:val="100"/>
                <w:position w:val="0"/>
                <w:sz w:val="24"/>
                <w:szCs w:val="24"/>
                <w:highlight w:val="none"/>
                <w:lang w:eastAsia="zh-CN"/>
              </w:rPr>
              <w:t>市水务局、市</w:t>
            </w:r>
            <w:r>
              <w:rPr>
                <w:rFonts w:hint="eastAsia" w:ascii="仿宋" w:hAnsi="仿宋" w:eastAsia="仿宋" w:cs="仿宋"/>
                <w:color w:val="000000"/>
                <w:spacing w:val="0"/>
                <w:w w:val="100"/>
                <w:position w:val="0"/>
                <w:sz w:val="24"/>
                <w:szCs w:val="24"/>
                <w:highlight w:val="none"/>
              </w:rPr>
              <w:t>住房和城乡建设</w:t>
            </w:r>
            <w:r>
              <w:rPr>
                <w:rFonts w:hint="eastAsia" w:ascii="仿宋" w:hAnsi="仿宋" w:eastAsia="仿宋" w:cs="仿宋"/>
                <w:color w:val="000000"/>
                <w:spacing w:val="0"/>
                <w:w w:val="100"/>
                <w:position w:val="0"/>
                <w:sz w:val="24"/>
                <w:szCs w:val="24"/>
                <w:highlight w:val="none"/>
                <w:lang w:eastAsia="zh-CN"/>
              </w:rPr>
              <w:t>局等</w:t>
            </w:r>
          </w:p>
        </w:tc>
      </w:tr>
      <w:tr>
        <w:tblPrEx>
          <w:tblCellMar>
            <w:top w:w="0" w:type="dxa"/>
            <w:left w:w="10" w:type="dxa"/>
            <w:bottom w:w="0" w:type="dxa"/>
            <w:right w:w="10" w:type="dxa"/>
          </w:tblCellMar>
        </w:tblPrEx>
        <w:trPr>
          <w:trHeight w:val="1374" w:hRule="exact"/>
          <w:jc w:val="center"/>
        </w:trPr>
        <w:tc>
          <w:tcPr>
            <w:tcW w:w="1320" w:type="dxa"/>
            <w:vMerge w:val="continue"/>
            <w:tcBorders>
              <w:left w:val="single" w:color="auto" w:sz="4" w:space="0"/>
            </w:tcBorders>
            <w:shd w:val="clear" w:color="auto" w:fill="FFFFFF"/>
            <w:vAlign w:val="center"/>
          </w:tcPr>
          <w:p>
            <w:pPr>
              <w:rPr>
                <w:rFonts w:hint="eastAsia" w:ascii="仿宋" w:hAnsi="仿宋" w:eastAsia="仿宋" w:cs="仿宋"/>
                <w:sz w:val="24"/>
                <w:szCs w:val="24"/>
                <w:highlight w:val="none"/>
              </w:rPr>
            </w:pPr>
          </w:p>
        </w:tc>
        <w:tc>
          <w:tcPr>
            <w:tcW w:w="1662"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33" w:lineRule="exact"/>
              <w:ind w:left="0" w:right="0" w:firstLine="0"/>
              <w:jc w:val="center"/>
              <w:rPr>
                <w:rFonts w:hint="eastAsia" w:ascii="仿宋" w:hAnsi="仿宋" w:eastAsia="仿宋" w:cs="仿宋"/>
                <w:b/>
                <w:bCs/>
                <w:color w:val="000000"/>
                <w:spacing w:val="0"/>
                <w:w w:val="100"/>
                <w:position w:val="0"/>
                <w:sz w:val="24"/>
                <w:szCs w:val="24"/>
                <w:highlight w:val="none"/>
              </w:rPr>
            </w:pPr>
            <w:r>
              <w:rPr>
                <w:rFonts w:hint="eastAsia" w:ascii="仿宋" w:hAnsi="仿宋" w:eastAsia="仿宋" w:cs="仿宋"/>
                <w:b/>
                <w:bCs/>
                <w:color w:val="000000"/>
                <w:spacing w:val="0"/>
                <w:w w:val="100"/>
                <w:position w:val="0"/>
                <w:sz w:val="24"/>
                <w:szCs w:val="24"/>
                <w:highlight w:val="none"/>
              </w:rPr>
              <w:t xml:space="preserve">2 </w:t>
            </w:r>
            <w:r>
              <w:rPr>
                <w:rFonts w:hint="eastAsia" w:ascii="仿宋" w:hAnsi="仿宋" w:eastAsia="仿宋" w:cs="仿宋"/>
                <w:b/>
                <w:bCs/>
                <w:color w:val="000000"/>
                <w:spacing w:val="0"/>
                <w:w w:val="100"/>
                <w:position w:val="0"/>
                <w:sz w:val="24"/>
                <w:szCs w:val="24"/>
                <w:highlight w:val="none"/>
                <w:lang w:val="zh-CN" w:eastAsia="zh-CN" w:bidi="zh-CN"/>
              </w:rPr>
              <w:t>.强化</w:t>
            </w:r>
            <w:r>
              <w:rPr>
                <w:rFonts w:hint="eastAsia" w:ascii="仿宋" w:hAnsi="仿宋" w:eastAsia="仿宋" w:cs="仿宋"/>
                <w:b/>
                <w:bCs/>
                <w:color w:val="000000"/>
                <w:spacing w:val="0"/>
                <w:w w:val="100"/>
                <w:position w:val="0"/>
                <w:sz w:val="24"/>
                <w:szCs w:val="24"/>
                <w:highlight w:val="none"/>
              </w:rPr>
              <w:t>农村地下水型饮用水源保护</w:t>
            </w:r>
          </w:p>
        </w:tc>
        <w:tc>
          <w:tcPr>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312" w:lineRule="exact"/>
              <w:ind w:left="0" w:right="0" w:firstLine="0"/>
              <w:jc w:val="left"/>
              <w:rPr>
                <w:rFonts w:hint="eastAsia" w:ascii="仿宋" w:hAnsi="仿宋" w:eastAsia="仿宋" w:cs="仿宋"/>
                <w:sz w:val="24"/>
                <w:szCs w:val="24"/>
                <w:highlight w:val="none"/>
                <w:lang w:eastAsia="zh-CN"/>
              </w:rPr>
            </w:pPr>
            <w:r>
              <w:rPr>
                <w:rFonts w:hint="eastAsia" w:ascii="仿宋" w:hAnsi="仿宋" w:eastAsia="仿宋" w:cs="仿宋"/>
                <w:color w:val="000000"/>
                <w:spacing w:val="0"/>
                <w:w w:val="100"/>
                <w:position w:val="0"/>
                <w:sz w:val="24"/>
                <w:szCs w:val="24"/>
                <w:highlight w:val="none"/>
              </w:rPr>
              <w:t>①落实《黑龙江省农业农村污染治理攻坚战行动计划实施方案》，完成供水人口在10000人或日供水1000吨以上农村地下水型饮用水源调查及评估</w:t>
            </w:r>
            <w:r>
              <w:rPr>
                <w:rFonts w:hint="eastAsia" w:ascii="仿宋" w:hAnsi="仿宋" w:eastAsia="仿宋" w:cs="仿宋"/>
                <w:color w:val="000000"/>
                <w:spacing w:val="0"/>
                <w:w w:val="100"/>
                <w:position w:val="0"/>
                <w:sz w:val="24"/>
                <w:szCs w:val="24"/>
                <w:highlight w:val="none"/>
                <w:lang w:eastAsia="zh-CN"/>
              </w:rPr>
              <w:t>。</w:t>
            </w:r>
          </w:p>
        </w:tc>
        <w:tc>
          <w:tcPr>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324" w:lineRule="exact"/>
              <w:ind w:left="0" w:right="0" w:firstLine="0"/>
              <w:jc w:val="center"/>
              <w:rPr>
                <w:rFonts w:hint="eastAsia" w:ascii="仿宋" w:hAnsi="仿宋" w:eastAsia="仿宋" w:cs="仿宋"/>
                <w:sz w:val="24"/>
                <w:szCs w:val="24"/>
                <w:highlight w:val="none"/>
              </w:rPr>
            </w:pPr>
            <w:r>
              <w:rPr>
                <w:rFonts w:hint="eastAsia" w:ascii="仿宋" w:hAnsi="仿宋" w:eastAsia="仿宋" w:cs="仿宋"/>
                <w:color w:val="000000"/>
                <w:spacing w:val="0"/>
                <w:w w:val="100"/>
                <w:position w:val="0"/>
                <w:sz w:val="24"/>
                <w:szCs w:val="24"/>
                <w:highlight w:val="none"/>
              </w:rPr>
              <w:t>按国家时限 要求</w:t>
            </w:r>
          </w:p>
        </w:tc>
        <w:tc>
          <w:tcPr>
            <w:gridSpan w:val="2"/>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00"/>
              <w:jc w:val="center"/>
              <w:rPr>
                <w:rFonts w:hint="eastAsia" w:ascii="仿宋" w:hAnsi="仿宋" w:eastAsia="仿宋" w:cs="仿宋"/>
                <w:sz w:val="24"/>
                <w:szCs w:val="24"/>
                <w:highlight w:val="none"/>
              </w:rPr>
            </w:pPr>
            <w:r>
              <w:rPr>
                <w:rFonts w:hint="eastAsia" w:ascii="仿宋" w:hAnsi="仿宋" w:eastAsia="仿宋" w:cs="仿宋"/>
                <w:color w:val="000000"/>
                <w:spacing w:val="0"/>
                <w:w w:val="100"/>
                <w:position w:val="0"/>
                <w:sz w:val="24"/>
                <w:szCs w:val="24"/>
                <w:highlight w:val="none"/>
                <w:lang w:eastAsia="zh-CN"/>
              </w:rPr>
              <w:t>富锦市人民政府</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default" w:ascii="仿宋" w:hAnsi="仿宋" w:eastAsia="仿宋" w:cs="仿宋"/>
                <w:sz w:val="24"/>
                <w:szCs w:val="24"/>
                <w:highlight w:val="none"/>
                <w:lang w:val="en-US" w:eastAsia="zh-CN"/>
              </w:rPr>
            </w:pPr>
            <w:r>
              <w:rPr>
                <w:rFonts w:hint="eastAsia" w:ascii="仿宋" w:hAnsi="仿宋" w:eastAsia="仿宋" w:cs="仿宋"/>
                <w:color w:val="000000"/>
                <w:spacing w:val="0"/>
                <w:w w:val="100"/>
                <w:position w:val="0"/>
                <w:sz w:val="24"/>
                <w:szCs w:val="24"/>
                <w:highlight w:val="none"/>
                <w:lang w:eastAsia="zh-CN"/>
              </w:rPr>
              <w:t>佳木斯市富锦生态环境局</w:t>
            </w:r>
          </w:p>
        </w:tc>
      </w:tr>
      <w:tr>
        <w:tblPrEx>
          <w:tblCellMar>
            <w:top w:w="0" w:type="dxa"/>
            <w:left w:w="10" w:type="dxa"/>
            <w:bottom w:w="0" w:type="dxa"/>
            <w:right w:w="10" w:type="dxa"/>
          </w:tblCellMar>
        </w:tblPrEx>
        <w:trPr>
          <w:trHeight w:val="1062" w:hRule="exact"/>
          <w:jc w:val="center"/>
        </w:trPr>
        <w:tc>
          <w:tcPr>
            <w:tcW w:w="1320" w:type="dxa"/>
            <w:vMerge w:val="restart"/>
            <w:tcBorders>
              <w:left w:val="single" w:color="auto" w:sz="4" w:space="0"/>
            </w:tcBorders>
            <w:shd w:val="clear" w:color="auto" w:fill="FFFFFF"/>
            <w:vAlign w:val="center"/>
          </w:tcPr>
          <w:p>
            <w:pPr>
              <w:pStyle w:val="6"/>
              <w:keepNext w:val="0"/>
              <w:keepLines w:val="0"/>
              <w:widowControl w:val="0"/>
              <w:shd w:val="clear" w:color="auto" w:fill="auto"/>
              <w:bidi w:val="0"/>
              <w:spacing w:before="0" w:after="0" w:line="318" w:lineRule="exact"/>
              <w:ind w:left="0" w:right="0" w:firstLine="0"/>
              <w:jc w:val="center"/>
              <w:rPr>
                <w:rFonts w:hint="eastAsia" w:ascii="仿宋" w:hAnsi="仿宋" w:eastAsia="仿宋" w:cs="仿宋"/>
                <w:color w:val="000000"/>
                <w:spacing w:val="0"/>
                <w:w w:val="100"/>
                <w:position w:val="0"/>
                <w:sz w:val="24"/>
                <w:szCs w:val="24"/>
                <w:highlight w:val="none"/>
              </w:rPr>
            </w:pPr>
            <w:r>
              <w:rPr>
                <w:rFonts w:hint="eastAsia" w:ascii="仿宋" w:hAnsi="仿宋" w:eastAsia="仿宋" w:cs="仿宋"/>
                <w:color w:val="000000"/>
                <w:spacing w:val="0"/>
                <w:w w:val="100"/>
                <w:position w:val="0"/>
                <w:sz w:val="24"/>
                <w:szCs w:val="24"/>
                <w:highlight w:val="none"/>
              </w:rPr>
              <w:t>（一）保障地 下水型饮用水源环境安全</w:t>
            </w:r>
          </w:p>
        </w:tc>
        <w:tc>
          <w:tcPr>
            <w:tcW w:w="1662" w:type="dxa"/>
            <w:vMerge w:val="restart"/>
            <w:tcBorders>
              <w:left w:val="single" w:color="auto" w:sz="4" w:space="0"/>
            </w:tcBorders>
            <w:shd w:val="clear" w:color="auto" w:fill="FFFFFF"/>
            <w:vAlign w:val="center"/>
          </w:tcPr>
          <w:p>
            <w:pPr>
              <w:pStyle w:val="6"/>
              <w:keepNext w:val="0"/>
              <w:keepLines w:val="0"/>
              <w:widowControl w:val="0"/>
              <w:shd w:val="clear" w:color="auto" w:fill="auto"/>
              <w:bidi w:val="0"/>
              <w:spacing w:before="0" w:after="0" w:line="330" w:lineRule="exact"/>
              <w:ind w:left="0" w:leftChars="0" w:right="0" w:rightChars="0" w:firstLine="0" w:firstLineChars="0"/>
              <w:jc w:val="center"/>
              <w:rPr>
                <w:rFonts w:hint="eastAsia" w:ascii="仿宋" w:hAnsi="仿宋" w:eastAsia="仿宋" w:cs="仿宋"/>
                <w:sz w:val="24"/>
                <w:szCs w:val="24"/>
                <w:highlight w:val="none"/>
              </w:rPr>
            </w:pPr>
            <w:r>
              <w:rPr>
                <w:rFonts w:hint="eastAsia" w:ascii="仿宋" w:hAnsi="仿宋" w:eastAsia="仿宋" w:cs="仿宋"/>
                <w:b/>
                <w:bCs/>
                <w:color w:val="000000"/>
                <w:spacing w:val="0"/>
                <w:w w:val="100"/>
                <w:position w:val="0"/>
                <w:sz w:val="24"/>
                <w:szCs w:val="24"/>
                <w:highlight w:val="none"/>
              </w:rPr>
              <w:t xml:space="preserve">2 </w:t>
            </w:r>
            <w:r>
              <w:rPr>
                <w:rFonts w:hint="eastAsia" w:ascii="仿宋" w:hAnsi="仿宋" w:eastAsia="仿宋" w:cs="仿宋"/>
                <w:b/>
                <w:bCs/>
                <w:color w:val="000000"/>
                <w:spacing w:val="0"/>
                <w:w w:val="100"/>
                <w:position w:val="0"/>
                <w:sz w:val="24"/>
                <w:szCs w:val="24"/>
                <w:highlight w:val="none"/>
                <w:lang w:val="zh-CN" w:eastAsia="zh-CN" w:bidi="zh-CN"/>
              </w:rPr>
              <w:t>.强化</w:t>
            </w:r>
            <w:r>
              <w:rPr>
                <w:rFonts w:hint="eastAsia" w:ascii="仿宋" w:hAnsi="仿宋" w:eastAsia="仿宋" w:cs="仿宋"/>
                <w:b/>
                <w:bCs/>
                <w:color w:val="000000"/>
                <w:spacing w:val="0"/>
                <w:w w:val="100"/>
                <w:position w:val="0"/>
                <w:sz w:val="24"/>
                <w:szCs w:val="24"/>
                <w:highlight w:val="none"/>
              </w:rPr>
              <w:t>农村地下水型饮用水源保护</w:t>
            </w:r>
          </w:p>
        </w:tc>
        <w:tc>
          <w:tcPr>
            <w:tcBorders>
              <w:top w:val="single" w:color="auto" w:sz="4" w:space="0"/>
              <w:left w:val="single" w:color="auto" w:sz="4" w:space="0"/>
              <w:bottom w:val="single" w:color="auto" w:sz="4" w:space="0"/>
            </w:tcBorders>
            <w:shd w:val="clear" w:color="auto" w:fill="FFFFFF"/>
            <w:vAlign w:val="top"/>
          </w:tcPr>
          <w:p>
            <w:pPr>
              <w:pStyle w:val="6"/>
              <w:keepNext w:val="0"/>
              <w:keepLines w:val="0"/>
              <w:widowControl w:val="0"/>
              <w:shd w:val="clear" w:color="auto" w:fill="auto"/>
              <w:bidi w:val="0"/>
              <w:spacing w:before="0" w:after="0" w:line="318" w:lineRule="exact"/>
              <w:ind w:left="0" w:right="0" w:firstLine="0"/>
              <w:jc w:val="left"/>
              <w:rPr>
                <w:rFonts w:hint="eastAsia" w:ascii="仿宋" w:hAnsi="仿宋" w:eastAsia="仿宋" w:cs="仿宋"/>
                <w:sz w:val="24"/>
                <w:szCs w:val="24"/>
                <w:highlight w:val="none"/>
                <w:lang w:eastAsia="zh-CN"/>
              </w:rPr>
            </w:pPr>
            <w:r>
              <w:rPr>
                <w:rFonts w:hint="eastAsia" w:ascii="仿宋" w:hAnsi="仿宋" w:eastAsia="仿宋" w:cs="仿宋"/>
                <w:color w:val="000000"/>
                <w:spacing w:val="0"/>
                <w:w w:val="100"/>
                <w:position w:val="0"/>
                <w:sz w:val="24"/>
                <w:szCs w:val="24"/>
                <w:highlight w:val="none"/>
              </w:rPr>
              <w:t>②完成供水人口在10000人或日供水1000吨以上农村地下水型饮用水源保护区划定</w:t>
            </w:r>
            <w:r>
              <w:rPr>
                <w:rFonts w:hint="eastAsia" w:ascii="仿宋" w:hAnsi="仿宋" w:eastAsia="仿宋" w:cs="仿宋"/>
                <w:color w:val="000000"/>
                <w:spacing w:val="0"/>
                <w:w w:val="100"/>
                <w:position w:val="0"/>
                <w:sz w:val="24"/>
                <w:szCs w:val="24"/>
                <w:highlight w:val="none"/>
                <w:lang w:eastAsia="zh-CN"/>
              </w:rPr>
              <w:t>，</w:t>
            </w:r>
            <w:r>
              <w:rPr>
                <w:rFonts w:hint="eastAsia" w:ascii="仿宋" w:hAnsi="仿宋" w:eastAsia="仿宋" w:cs="仿宋"/>
                <w:color w:val="000000"/>
                <w:spacing w:val="0"/>
                <w:w w:val="100"/>
                <w:position w:val="0"/>
                <w:sz w:val="24"/>
                <w:szCs w:val="24"/>
                <w:highlight w:val="none"/>
              </w:rPr>
              <w:t>保护区的边界按要求设立地理界标、警示标志或宣传牌</w:t>
            </w:r>
            <w:r>
              <w:rPr>
                <w:rFonts w:hint="eastAsia" w:ascii="仿宋" w:hAnsi="仿宋" w:eastAsia="仿宋" w:cs="仿宋"/>
                <w:color w:val="000000"/>
                <w:spacing w:val="0"/>
                <w:w w:val="100"/>
                <w:position w:val="0"/>
                <w:sz w:val="24"/>
                <w:szCs w:val="24"/>
                <w:highlight w:val="none"/>
                <w:lang w:eastAsia="zh-CN"/>
              </w:rPr>
              <w:t>。</w:t>
            </w:r>
          </w:p>
        </w:tc>
        <w:tc>
          <w:tcPr>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highlight w:val="none"/>
              </w:rPr>
            </w:pPr>
            <w:r>
              <w:rPr>
                <w:rFonts w:hint="eastAsia" w:ascii="仿宋" w:hAnsi="仿宋" w:eastAsia="仿宋" w:cs="仿宋"/>
                <w:color w:val="000000"/>
                <w:spacing w:val="0"/>
                <w:w w:val="100"/>
                <w:position w:val="0"/>
                <w:sz w:val="24"/>
                <w:szCs w:val="24"/>
                <w:highlight w:val="none"/>
              </w:rPr>
              <w:t>2021年底前</w:t>
            </w:r>
          </w:p>
        </w:tc>
        <w:tc>
          <w:tcPr>
            <w:gridSpan w:val="2"/>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highlight w:val="none"/>
              </w:rPr>
            </w:pPr>
            <w:r>
              <w:rPr>
                <w:rFonts w:hint="eastAsia" w:ascii="仿宋" w:hAnsi="仿宋" w:eastAsia="仿宋" w:cs="仿宋"/>
                <w:color w:val="000000"/>
                <w:spacing w:val="0"/>
                <w:w w:val="100"/>
                <w:position w:val="0"/>
                <w:sz w:val="24"/>
                <w:szCs w:val="24"/>
                <w:highlight w:val="none"/>
                <w:lang w:eastAsia="zh-CN"/>
              </w:rPr>
              <w:t>富锦市人民政府</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4"/>
                <w:szCs w:val="24"/>
                <w:highlight w:val="none"/>
              </w:rPr>
            </w:pPr>
            <w:r>
              <w:rPr>
                <w:rFonts w:hint="eastAsia" w:ascii="仿宋" w:hAnsi="仿宋" w:eastAsia="仿宋" w:cs="仿宋"/>
                <w:color w:val="000000"/>
                <w:spacing w:val="0"/>
                <w:w w:val="100"/>
                <w:position w:val="0"/>
                <w:sz w:val="24"/>
                <w:szCs w:val="24"/>
                <w:highlight w:val="none"/>
                <w:lang w:eastAsia="zh-CN"/>
              </w:rPr>
              <w:t>佳木斯市富锦生态环境局，市水务局</w:t>
            </w:r>
            <w:r>
              <w:rPr>
                <w:rFonts w:hint="eastAsia" w:ascii="仿宋" w:hAnsi="仿宋" w:eastAsia="仿宋" w:cs="仿宋"/>
                <w:color w:val="000000"/>
                <w:spacing w:val="0"/>
                <w:w w:val="100"/>
                <w:position w:val="0"/>
                <w:sz w:val="24"/>
                <w:szCs w:val="24"/>
                <w:highlight w:val="none"/>
              </w:rPr>
              <w:t>、</w:t>
            </w:r>
          </w:p>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highlight w:val="none"/>
              </w:rPr>
            </w:pPr>
            <w:r>
              <w:rPr>
                <w:rFonts w:hint="eastAsia" w:ascii="仿宋" w:hAnsi="仿宋" w:eastAsia="仿宋" w:cs="仿宋"/>
                <w:color w:val="000000"/>
                <w:spacing w:val="0"/>
                <w:w w:val="100"/>
                <w:position w:val="0"/>
                <w:sz w:val="24"/>
                <w:szCs w:val="24"/>
                <w:highlight w:val="none"/>
                <w:lang w:eastAsia="zh-CN"/>
              </w:rPr>
              <w:t>市卫生健康局</w:t>
            </w:r>
            <w:r>
              <w:rPr>
                <w:rFonts w:hint="eastAsia" w:ascii="仿宋" w:hAnsi="仿宋" w:eastAsia="仿宋" w:cs="仿宋"/>
                <w:color w:val="000000"/>
                <w:spacing w:val="0"/>
                <w:w w:val="100"/>
                <w:position w:val="0"/>
                <w:sz w:val="24"/>
                <w:szCs w:val="24"/>
                <w:highlight w:val="none"/>
              </w:rPr>
              <w:t>等</w:t>
            </w:r>
          </w:p>
        </w:tc>
      </w:tr>
      <w:tr>
        <w:tblPrEx>
          <w:tblCellMar>
            <w:top w:w="0" w:type="dxa"/>
            <w:left w:w="10" w:type="dxa"/>
            <w:bottom w:w="0" w:type="dxa"/>
            <w:right w:w="10" w:type="dxa"/>
          </w:tblCellMar>
        </w:tblPrEx>
        <w:trPr>
          <w:trHeight w:val="1017" w:hRule="exact"/>
          <w:jc w:val="center"/>
        </w:trPr>
        <w:tc>
          <w:tcPr>
            <w:tcW w:w="1320" w:type="dxa"/>
            <w:vMerge w:val="continue"/>
            <w:tcBorders>
              <w:left w:val="single" w:color="auto" w:sz="4" w:space="0"/>
            </w:tcBorders>
            <w:shd w:val="clear" w:color="auto" w:fill="FFFFFF"/>
            <w:vAlign w:val="center"/>
          </w:tcPr>
          <w:p>
            <w:pPr>
              <w:pStyle w:val="6"/>
              <w:keepNext w:val="0"/>
              <w:keepLines w:val="0"/>
              <w:widowControl w:val="0"/>
              <w:shd w:val="clear" w:color="auto" w:fill="auto"/>
              <w:bidi w:val="0"/>
              <w:spacing w:before="0" w:after="0" w:line="318" w:lineRule="exact"/>
              <w:ind w:left="0" w:leftChars="0" w:right="0" w:rightChars="0" w:firstLine="200" w:firstLineChars="0"/>
              <w:jc w:val="both"/>
              <w:rPr>
                <w:rFonts w:hint="eastAsia" w:ascii="仿宋" w:hAnsi="仿宋" w:eastAsia="仿宋" w:cs="仿宋"/>
                <w:color w:val="000000"/>
                <w:spacing w:val="0"/>
                <w:w w:val="100"/>
                <w:position w:val="0"/>
                <w:sz w:val="24"/>
                <w:szCs w:val="24"/>
                <w:highlight w:val="none"/>
              </w:rPr>
            </w:pPr>
          </w:p>
        </w:tc>
        <w:tc>
          <w:tcPr>
            <w:tcW w:w="1662" w:type="dxa"/>
            <w:vMerge w:val="continue"/>
            <w:tcBorders>
              <w:left w:val="single" w:color="auto" w:sz="4" w:space="0"/>
            </w:tcBorders>
            <w:shd w:val="clear" w:color="auto" w:fill="FFFFFF"/>
            <w:vAlign w:val="center"/>
          </w:tcPr>
          <w:p>
            <w:pPr>
              <w:pStyle w:val="6"/>
              <w:keepNext w:val="0"/>
              <w:keepLines w:val="0"/>
              <w:widowControl w:val="0"/>
              <w:shd w:val="clear" w:color="auto" w:fill="auto"/>
              <w:bidi w:val="0"/>
              <w:spacing w:before="0" w:after="0" w:line="330" w:lineRule="exact"/>
              <w:ind w:left="0" w:leftChars="0" w:right="0" w:rightChars="0" w:firstLine="0" w:firstLineChars="0"/>
              <w:jc w:val="center"/>
              <w:rPr>
                <w:rFonts w:hint="eastAsia" w:ascii="仿宋" w:hAnsi="仿宋" w:eastAsia="仿宋" w:cs="仿宋"/>
                <w:sz w:val="24"/>
                <w:szCs w:val="24"/>
                <w:highlight w:val="none"/>
              </w:rPr>
            </w:pPr>
          </w:p>
        </w:tc>
        <w:tc>
          <w:tcPr>
            <w:tcBorders>
              <w:top w:val="single" w:color="auto" w:sz="4" w:space="0"/>
              <w:left w:val="single" w:color="auto" w:sz="4" w:space="0"/>
              <w:bottom w:val="single" w:color="auto" w:sz="4" w:space="0"/>
            </w:tcBorders>
            <w:shd w:val="clear" w:color="auto" w:fill="FFFFFF"/>
            <w:vAlign w:val="top"/>
          </w:tcPr>
          <w:p>
            <w:pPr>
              <w:pStyle w:val="6"/>
              <w:keepNext w:val="0"/>
              <w:keepLines w:val="0"/>
              <w:widowControl w:val="0"/>
              <w:shd w:val="clear" w:color="auto" w:fill="auto"/>
              <w:bidi w:val="0"/>
              <w:spacing w:before="0" w:after="0" w:line="318" w:lineRule="exact"/>
              <w:ind w:left="0" w:right="0" w:firstLine="0"/>
              <w:jc w:val="left"/>
              <w:rPr>
                <w:rFonts w:hint="eastAsia" w:ascii="仿宋" w:hAnsi="仿宋" w:eastAsia="仿宋" w:cs="仿宋"/>
                <w:color w:val="000000"/>
                <w:spacing w:val="0"/>
                <w:w w:val="100"/>
                <w:position w:val="0"/>
                <w:sz w:val="24"/>
                <w:szCs w:val="24"/>
                <w:highlight w:val="none"/>
              </w:rPr>
            </w:pPr>
            <w:r>
              <w:rPr>
                <w:rFonts w:hint="eastAsia" w:ascii="仿宋" w:hAnsi="仿宋" w:eastAsia="仿宋" w:cs="仿宋"/>
                <w:color w:val="000000"/>
                <w:spacing w:val="0"/>
                <w:w w:val="100"/>
                <w:position w:val="0"/>
                <w:sz w:val="24"/>
                <w:szCs w:val="24"/>
                <w:highlight w:val="none"/>
              </w:rPr>
              <w:t>③</w:t>
            </w:r>
            <w:r>
              <w:rPr>
                <w:rFonts w:hint="eastAsia" w:ascii="仿宋" w:hAnsi="仿宋" w:eastAsia="仿宋" w:cs="仿宋"/>
                <w:color w:val="000000"/>
                <w:spacing w:val="0"/>
                <w:w w:val="100"/>
                <w:position w:val="0"/>
                <w:sz w:val="24"/>
                <w:szCs w:val="24"/>
                <w:highlight w:val="none"/>
                <w:lang w:eastAsia="zh-CN"/>
              </w:rPr>
              <w:t>市</w:t>
            </w:r>
            <w:r>
              <w:rPr>
                <w:rFonts w:hint="eastAsia" w:ascii="仿宋" w:hAnsi="仿宋" w:eastAsia="仿宋" w:cs="仿宋"/>
                <w:color w:val="000000"/>
                <w:spacing w:val="0"/>
                <w:w w:val="100"/>
                <w:position w:val="0"/>
                <w:sz w:val="24"/>
                <w:szCs w:val="24"/>
                <w:highlight w:val="none"/>
              </w:rPr>
              <w:t>政府组织相关部门监测和评估辖区内饮用水源水质状况，具体监测项目由各地按照国家相关标准，结合本地水质本底状况确定。</w:t>
            </w:r>
          </w:p>
        </w:tc>
        <w:tc>
          <w:tcPr>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4"/>
                <w:szCs w:val="24"/>
                <w:highlight w:val="none"/>
                <w:lang w:eastAsia="zh-CN"/>
              </w:rPr>
            </w:pPr>
            <w:r>
              <w:rPr>
                <w:rFonts w:hint="eastAsia" w:ascii="仿宋" w:hAnsi="仿宋" w:eastAsia="仿宋" w:cs="仿宋"/>
                <w:color w:val="000000"/>
                <w:spacing w:val="0"/>
                <w:w w:val="100"/>
                <w:position w:val="0"/>
                <w:sz w:val="24"/>
                <w:szCs w:val="24"/>
                <w:highlight w:val="none"/>
                <w:lang w:eastAsia="zh-CN"/>
              </w:rPr>
              <w:t>持续推进</w:t>
            </w:r>
          </w:p>
        </w:tc>
        <w:tc>
          <w:tcPr>
            <w:tcW w:w="400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4"/>
                <w:szCs w:val="24"/>
                <w:highlight w:val="none"/>
                <w:lang w:eastAsia="zh-CN"/>
              </w:rPr>
            </w:pPr>
            <w:r>
              <w:rPr>
                <w:rFonts w:hint="eastAsia" w:ascii="仿宋" w:hAnsi="仿宋" w:eastAsia="仿宋" w:cs="仿宋"/>
                <w:color w:val="000000"/>
                <w:spacing w:val="0"/>
                <w:w w:val="100"/>
                <w:position w:val="0"/>
                <w:sz w:val="24"/>
                <w:szCs w:val="24"/>
                <w:highlight w:val="none"/>
                <w:lang w:eastAsia="zh-CN"/>
              </w:rPr>
              <w:t>富锦市人民政府、佳木斯市富锦生态环境局</w:t>
            </w:r>
          </w:p>
        </w:tc>
      </w:tr>
      <w:tr>
        <w:tblPrEx>
          <w:tblCellMar>
            <w:top w:w="0" w:type="dxa"/>
            <w:left w:w="10" w:type="dxa"/>
            <w:bottom w:w="0" w:type="dxa"/>
            <w:right w:w="10" w:type="dxa"/>
          </w:tblCellMar>
        </w:tblPrEx>
        <w:trPr>
          <w:trHeight w:val="957" w:hRule="exact"/>
          <w:jc w:val="center"/>
        </w:trPr>
        <w:tc>
          <w:tcPr>
            <w:tcW w:w="1320" w:type="dxa"/>
            <w:vMerge w:val="continue"/>
            <w:tcBorders>
              <w:left w:val="single" w:color="auto" w:sz="4" w:space="0"/>
            </w:tcBorders>
            <w:shd w:val="clear" w:color="auto" w:fill="FFFFFF"/>
            <w:vAlign w:val="center"/>
          </w:tcPr>
          <w:p>
            <w:pPr>
              <w:pStyle w:val="6"/>
              <w:keepNext w:val="0"/>
              <w:keepLines w:val="0"/>
              <w:widowControl w:val="0"/>
              <w:shd w:val="clear" w:color="auto" w:fill="auto"/>
              <w:bidi w:val="0"/>
              <w:spacing w:before="0" w:after="0" w:line="318" w:lineRule="exact"/>
              <w:ind w:left="0" w:leftChars="0" w:right="0" w:rightChars="0" w:firstLine="200" w:firstLineChars="0"/>
              <w:jc w:val="both"/>
              <w:rPr>
                <w:rFonts w:hint="eastAsia" w:ascii="仿宋" w:hAnsi="仿宋" w:eastAsia="仿宋" w:cs="仿宋"/>
                <w:color w:val="000000"/>
                <w:spacing w:val="0"/>
                <w:w w:val="100"/>
                <w:position w:val="0"/>
                <w:sz w:val="24"/>
                <w:szCs w:val="24"/>
                <w:highlight w:val="none"/>
              </w:rPr>
            </w:pPr>
          </w:p>
        </w:tc>
        <w:tc>
          <w:tcPr>
            <w:tcW w:w="1662" w:type="dxa"/>
            <w:vMerge w:val="continue"/>
            <w:tcBorders>
              <w:left w:val="single" w:color="auto" w:sz="4" w:space="0"/>
            </w:tcBorders>
            <w:shd w:val="clear" w:color="auto" w:fill="FFFFFF"/>
            <w:vAlign w:val="center"/>
          </w:tcPr>
          <w:p>
            <w:pPr>
              <w:pStyle w:val="6"/>
              <w:keepNext w:val="0"/>
              <w:keepLines w:val="0"/>
              <w:widowControl w:val="0"/>
              <w:shd w:val="clear" w:color="auto" w:fill="auto"/>
              <w:bidi w:val="0"/>
              <w:spacing w:before="0" w:after="0" w:line="330" w:lineRule="exact"/>
              <w:ind w:left="0" w:leftChars="0" w:right="0" w:rightChars="0" w:firstLine="0" w:firstLineChars="0"/>
              <w:jc w:val="center"/>
              <w:rPr>
                <w:rFonts w:hint="eastAsia" w:ascii="仿宋" w:hAnsi="仿宋" w:eastAsia="仿宋" w:cs="仿宋"/>
                <w:b/>
                <w:bCs/>
                <w:color w:val="000000"/>
                <w:spacing w:val="0"/>
                <w:w w:val="100"/>
                <w:position w:val="0"/>
                <w:sz w:val="24"/>
                <w:szCs w:val="24"/>
                <w:highlight w:val="none"/>
              </w:rPr>
            </w:pPr>
          </w:p>
        </w:tc>
        <w:tc>
          <w:tcPr>
            <w:tcBorders>
              <w:top w:val="single" w:color="auto" w:sz="4" w:space="0"/>
              <w:left w:val="single" w:color="auto" w:sz="4" w:space="0"/>
              <w:bottom w:val="single" w:color="auto" w:sz="4" w:space="0"/>
            </w:tcBorders>
            <w:shd w:val="clear" w:color="auto" w:fill="FFFFFF"/>
            <w:vAlign w:val="top"/>
          </w:tcPr>
          <w:p>
            <w:pPr>
              <w:pStyle w:val="6"/>
              <w:keepNext w:val="0"/>
              <w:keepLines w:val="0"/>
              <w:widowControl w:val="0"/>
              <w:shd w:val="clear" w:color="auto" w:fill="auto"/>
              <w:bidi w:val="0"/>
              <w:spacing w:before="0" w:after="0" w:line="318" w:lineRule="exact"/>
              <w:ind w:left="0" w:right="0" w:firstLine="0"/>
              <w:jc w:val="left"/>
              <w:rPr>
                <w:rFonts w:hint="eastAsia" w:ascii="仿宋" w:hAnsi="仿宋" w:eastAsia="仿宋" w:cs="仿宋"/>
                <w:color w:val="000000"/>
                <w:spacing w:val="0"/>
                <w:w w:val="100"/>
                <w:position w:val="0"/>
                <w:sz w:val="24"/>
                <w:szCs w:val="24"/>
                <w:highlight w:val="none"/>
              </w:rPr>
            </w:pPr>
            <w:r>
              <w:rPr>
                <w:rFonts w:hint="eastAsia" w:ascii="仿宋" w:hAnsi="仿宋" w:eastAsia="仿宋" w:cs="仿宋"/>
                <w:color w:val="000000"/>
                <w:spacing w:val="0"/>
                <w:w w:val="100"/>
                <w:position w:val="0"/>
                <w:sz w:val="24"/>
                <w:szCs w:val="24"/>
                <w:highlight w:val="none"/>
                <w:lang w:eastAsia="zh-CN"/>
              </w:rPr>
              <w:t>④</w:t>
            </w:r>
            <w:r>
              <w:rPr>
                <w:rFonts w:hint="eastAsia" w:ascii="仿宋" w:hAnsi="仿宋" w:eastAsia="仿宋" w:cs="仿宋"/>
                <w:color w:val="000000"/>
                <w:spacing w:val="0"/>
                <w:w w:val="100"/>
                <w:position w:val="0"/>
                <w:sz w:val="24"/>
                <w:szCs w:val="24"/>
                <w:highlight w:val="none"/>
              </w:rPr>
              <w:t>市政府组织相关部门监测和评估辖区内供水单位供水和用户水龙头出水的水质等状况，具体监测项目由各地按照国家相关标准，结合本地水质本底状况确定。</w:t>
            </w:r>
          </w:p>
        </w:tc>
        <w:tc>
          <w:tcPr>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4"/>
                <w:szCs w:val="24"/>
                <w:highlight w:val="none"/>
                <w:lang w:eastAsia="zh-CN"/>
              </w:rPr>
            </w:pPr>
            <w:r>
              <w:rPr>
                <w:rFonts w:hint="eastAsia" w:ascii="仿宋" w:hAnsi="仿宋" w:eastAsia="仿宋" w:cs="仿宋"/>
                <w:color w:val="000000"/>
                <w:spacing w:val="0"/>
                <w:w w:val="100"/>
                <w:position w:val="0"/>
                <w:sz w:val="24"/>
                <w:szCs w:val="24"/>
                <w:highlight w:val="none"/>
                <w:lang w:eastAsia="zh-CN"/>
              </w:rPr>
              <w:t>持续推进</w:t>
            </w:r>
          </w:p>
        </w:tc>
        <w:tc>
          <w:tcPr>
            <w:tcW w:w="400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4"/>
                <w:szCs w:val="24"/>
                <w:highlight w:val="none"/>
                <w:lang w:eastAsia="zh-CN"/>
              </w:rPr>
            </w:pPr>
            <w:r>
              <w:rPr>
                <w:rFonts w:hint="eastAsia" w:ascii="仿宋" w:hAnsi="仿宋" w:eastAsia="仿宋" w:cs="仿宋"/>
                <w:color w:val="000000"/>
                <w:spacing w:val="0"/>
                <w:w w:val="100"/>
                <w:position w:val="0"/>
                <w:sz w:val="24"/>
                <w:szCs w:val="24"/>
                <w:highlight w:val="none"/>
                <w:lang w:eastAsia="zh-CN"/>
              </w:rPr>
              <w:t>市卫生健康局</w:t>
            </w:r>
          </w:p>
        </w:tc>
      </w:tr>
      <w:tr>
        <w:tblPrEx>
          <w:tblCellMar>
            <w:top w:w="0" w:type="dxa"/>
            <w:left w:w="10" w:type="dxa"/>
            <w:bottom w:w="0" w:type="dxa"/>
            <w:right w:w="10" w:type="dxa"/>
          </w:tblCellMar>
        </w:tblPrEx>
        <w:trPr>
          <w:trHeight w:val="492" w:hRule="exact"/>
          <w:jc w:val="center"/>
        </w:trPr>
        <w:tc>
          <w:tcPr>
            <w:tcW w:w="1320" w:type="dxa"/>
            <w:vMerge w:val="continue"/>
            <w:tcBorders>
              <w:left w:val="single" w:color="auto" w:sz="4" w:space="0"/>
            </w:tcBorders>
            <w:shd w:val="clear" w:color="auto" w:fill="FFFFFF"/>
            <w:vAlign w:val="center"/>
          </w:tcPr>
          <w:p>
            <w:pPr>
              <w:pStyle w:val="6"/>
              <w:keepNext w:val="0"/>
              <w:keepLines w:val="0"/>
              <w:widowControl w:val="0"/>
              <w:shd w:val="clear" w:color="auto" w:fill="auto"/>
              <w:bidi w:val="0"/>
              <w:spacing w:before="0" w:after="0" w:line="318" w:lineRule="exact"/>
              <w:ind w:left="0" w:leftChars="0" w:right="0" w:rightChars="0" w:firstLine="200" w:firstLineChars="0"/>
              <w:jc w:val="both"/>
              <w:rPr>
                <w:rFonts w:hint="eastAsia" w:ascii="仿宋" w:hAnsi="仿宋" w:eastAsia="仿宋" w:cs="仿宋"/>
                <w:color w:val="000000"/>
                <w:spacing w:val="0"/>
                <w:w w:val="100"/>
                <w:position w:val="0"/>
                <w:sz w:val="24"/>
                <w:szCs w:val="24"/>
                <w:highlight w:val="none"/>
              </w:rPr>
            </w:pPr>
          </w:p>
        </w:tc>
        <w:tc>
          <w:tcPr>
            <w:tcW w:w="1662" w:type="dxa"/>
            <w:vMerge w:val="continue"/>
            <w:tcBorders>
              <w:left w:val="single" w:color="auto" w:sz="4" w:space="0"/>
            </w:tcBorders>
            <w:shd w:val="clear" w:color="auto" w:fill="FFFFFF"/>
            <w:vAlign w:val="center"/>
          </w:tcPr>
          <w:p>
            <w:pPr>
              <w:pStyle w:val="6"/>
              <w:keepNext w:val="0"/>
              <w:keepLines w:val="0"/>
              <w:widowControl w:val="0"/>
              <w:shd w:val="clear" w:color="auto" w:fill="auto"/>
              <w:bidi w:val="0"/>
              <w:spacing w:before="0" w:after="0" w:line="330" w:lineRule="exact"/>
              <w:ind w:left="0" w:leftChars="0" w:right="0" w:rightChars="0" w:firstLine="0" w:firstLineChars="0"/>
              <w:jc w:val="center"/>
              <w:rPr>
                <w:rFonts w:hint="eastAsia" w:ascii="仿宋" w:hAnsi="仿宋" w:eastAsia="仿宋" w:cs="仿宋"/>
                <w:b/>
                <w:bCs/>
                <w:color w:val="000000"/>
                <w:spacing w:val="0"/>
                <w:w w:val="100"/>
                <w:position w:val="0"/>
                <w:sz w:val="24"/>
                <w:szCs w:val="24"/>
                <w:highlight w:val="none"/>
              </w:rPr>
            </w:pPr>
          </w:p>
        </w:tc>
        <w:tc>
          <w:tcPr>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318" w:lineRule="exact"/>
              <w:ind w:left="0" w:right="0" w:firstLine="0"/>
              <w:jc w:val="both"/>
              <w:rPr>
                <w:rFonts w:hint="eastAsia" w:ascii="仿宋" w:hAnsi="仿宋" w:eastAsia="仿宋" w:cs="仿宋"/>
                <w:color w:val="000000"/>
                <w:spacing w:val="0"/>
                <w:w w:val="100"/>
                <w:position w:val="0"/>
                <w:sz w:val="24"/>
                <w:szCs w:val="24"/>
                <w:highlight w:val="none"/>
              </w:rPr>
            </w:pPr>
            <w:r>
              <w:rPr>
                <w:rFonts w:hint="eastAsia" w:ascii="仿宋" w:hAnsi="仿宋" w:eastAsia="仿宋" w:cs="仿宋"/>
                <w:color w:val="000000"/>
                <w:spacing w:val="0"/>
                <w:w w:val="100"/>
                <w:position w:val="0"/>
                <w:sz w:val="24"/>
                <w:szCs w:val="24"/>
                <w:highlight w:val="none"/>
                <w:lang w:eastAsia="zh-CN"/>
              </w:rPr>
              <w:t>⑤</w:t>
            </w:r>
            <w:r>
              <w:rPr>
                <w:rFonts w:hint="eastAsia" w:ascii="仿宋" w:hAnsi="仿宋" w:eastAsia="仿宋" w:cs="仿宋"/>
                <w:color w:val="000000"/>
                <w:spacing w:val="0"/>
                <w:w w:val="100"/>
                <w:position w:val="0"/>
                <w:sz w:val="24"/>
                <w:szCs w:val="24"/>
                <w:highlight w:val="none"/>
              </w:rPr>
              <w:t>农村饮水安全工程管理单位负责水源地的日常保护管理。</w:t>
            </w:r>
          </w:p>
        </w:tc>
        <w:tc>
          <w:tcPr>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4"/>
                <w:szCs w:val="24"/>
                <w:highlight w:val="none"/>
                <w:lang w:eastAsia="zh-CN"/>
              </w:rPr>
            </w:pPr>
            <w:r>
              <w:rPr>
                <w:rFonts w:hint="eastAsia" w:ascii="仿宋" w:hAnsi="仿宋" w:eastAsia="仿宋" w:cs="仿宋"/>
                <w:color w:val="000000"/>
                <w:spacing w:val="0"/>
                <w:w w:val="100"/>
                <w:position w:val="0"/>
                <w:sz w:val="24"/>
                <w:szCs w:val="24"/>
                <w:highlight w:val="none"/>
                <w:lang w:eastAsia="zh-CN"/>
              </w:rPr>
              <w:t>持续推进</w:t>
            </w:r>
          </w:p>
        </w:tc>
        <w:tc>
          <w:tcPr>
            <w:tcW w:w="400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4"/>
                <w:szCs w:val="24"/>
                <w:highlight w:val="none"/>
                <w:lang w:eastAsia="zh-CN"/>
              </w:rPr>
            </w:pPr>
            <w:r>
              <w:rPr>
                <w:rFonts w:hint="eastAsia" w:ascii="仿宋" w:hAnsi="仿宋" w:eastAsia="仿宋" w:cs="仿宋"/>
                <w:color w:val="000000"/>
                <w:spacing w:val="0"/>
                <w:w w:val="100"/>
                <w:position w:val="0"/>
                <w:sz w:val="24"/>
                <w:szCs w:val="24"/>
                <w:highlight w:val="none"/>
                <w:lang w:eastAsia="zh-CN"/>
              </w:rPr>
              <w:t>市水务局</w:t>
            </w:r>
          </w:p>
        </w:tc>
      </w:tr>
      <w:tr>
        <w:tblPrEx>
          <w:tblCellMar>
            <w:top w:w="0" w:type="dxa"/>
            <w:left w:w="10" w:type="dxa"/>
            <w:bottom w:w="0" w:type="dxa"/>
            <w:right w:w="10" w:type="dxa"/>
          </w:tblCellMar>
        </w:tblPrEx>
        <w:trPr>
          <w:trHeight w:val="732" w:hRule="exact"/>
          <w:jc w:val="center"/>
        </w:trPr>
        <w:tc>
          <w:tcPr>
            <w:tcW w:w="1320" w:type="dxa"/>
            <w:vMerge w:val="continue"/>
            <w:tcBorders>
              <w:left w:val="single" w:color="auto" w:sz="4" w:space="0"/>
            </w:tcBorders>
            <w:shd w:val="clear" w:color="auto" w:fill="FFFFFF"/>
            <w:vAlign w:val="center"/>
          </w:tcPr>
          <w:p>
            <w:pPr>
              <w:pStyle w:val="6"/>
              <w:keepNext w:val="0"/>
              <w:keepLines w:val="0"/>
              <w:widowControl w:val="0"/>
              <w:shd w:val="clear" w:color="auto" w:fill="auto"/>
              <w:bidi w:val="0"/>
              <w:spacing w:before="0" w:after="0" w:line="318" w:lineRule="exact"/>
              <w:ind w:left="0" w:leftChars="0" w:right="0" w:rightChars="0" w:firstLine="200" w:firstLineChars="0"/>
              <w:jc w:val="both"/>
              <w:rPr>
                <w:rFonts w:hint="eastAsia" w:ascii="仿宋" w:hAnsi="仿宋" w:eastAsia="仿宋" w:cs="仿宋"/>
                <w:color w:val="000000"/>
                <w:spacing w:val="0"/>
                <w:w w:val="100"/>
                <w:position w:val="0"/>
                <w:sz w:val="24"/>
                <w:szCs w:val="24"/>
                <w:highlight w:val="none"/>
              </w:rPr>
            </w:pPr>
          </w:p>
        </w:tc>
        <w:tc>
          <w:tcPr>
            <w:tcW w:w="1662" w:type="dxa"/>
            <w:vMerge w:val="continue"/>
            <w:tcBorders>
              <w:left w:val="single" w:color="auto" w:sz="4" w:space="0"/>
            </w:tcBorders>
            <w:shd w:val="clear" w:color="auto" w:fill="FFFFFF"/>
            <w:vAlign w:val="center"/>
          </w:tcPr>
          <w:p>
            <w:pPr>
              <w:pStyle w:val="6"/>
              <w:keepNext w:val="0"/>
              <w:keepLines w:val="0"/>
              <w:widowControl w:val="0"/>
              <w:shd w:val="clear" w:color="auto" w:fill="auto"/>
              <w:bidi w:val="0"/>
              <w:spacing w:before="0" w:after="0" w:line="330" w:lineRule="exact"/>
              <w:ind w:left="0" w:leftChars="0" w:right="0" w:rightChars="0" w:firstLine="0" w:firstLineChars="0"/>
              <w:jc w:val="center"/>
              <w:rPr>
                <w:rFonts w:hint="eastAsia" w:ascii="仿宋" w:hAnsi="仿宋" w:eastAsia="仿宋" w:cs="仿宋"/>
                <w:b/>
                <w:bCs/>
                <w:color w:val="000000"/>
                <w:spacing w:val="0"/>
                <w:w w:val="100"/>
                <w:position w:val="0"/>
                <w:sz w:val="24"/>
                <w:szCs w:val="24"/>
                <w:highlight w:val="none"/>
              </w:rPr>
            </w:pPr>
          </w:p>
        </w:tc>
        <w:tc>
          <w:tcPr>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318" w:lineRule="exact"/>
              <w:ind w:left="0" w:right="0" w:firstLine="0"/>
              <w:jc w:val="both"/>
              <w:rPr>
                <w:rFonts w:hint="eastAsia" w:ascii="仿宋" w:hAnsi="仿宋" w:eastAsia="仿宋" w:cs="仿宋"/>
                <w:color w:val="000000"/>
                <w:spacing w:val="0"/>
                <w:w w:val="100"/>
                <w:position w:val="0"/>
                <w:sz w:val="24"/>
                <w:szCs w:val="24"/>
                <w:highlight w:val="none"/>
              </w:rPr>
            </w:pPr>
            <w:r>
              <w:rPr>
                <w:rFonts w:hint="eastAsia" w:ascii="仿宋" w:hAnsi="仿宋" w:eastAsia="仿宋" w:cs="仿宋"/>
                <w:color w:val="000000"/>
                <w:spacing w:val="0"/>
                <w:w w:val="100"/>
                <w:position w:val="0"/>
                <w:sz w:val="24"/>
                <w:szCs w:val="24"/>
                <w:highlight w:val="none"/>
                <w:lang w:eastAsia="zh-CN"/>
              </w:rPr>
              <w:t>⑥</w:t>
            </w:r>
            <w:r>
              <w:rPr>
                <w:rFonts w:hint="eastAsia" w:ascii="仿宋" w:hAnsi="仿宋" w:eastAsia="仿宋" w:cs="仿宋"/>
                <w:color w:val="000000"/>
                <w:spacing w:val="0"/>
                <w:w w:val="100"/>
                <w:position w:val="0"/>
                <w:sz w:val="24"/>
                <w:szCs w:val="24"/>
                <w:highlight w:val="none"/>
              </w:rPr>
              <w:t>落实水源保护、工程建设、水质监测检测</w:t>
            </w:r>
            <w:r>
              <w:rPr>
                <w:rFonts w:hint="eastAsia" w:ascii="仿宋" w:hAnsi="仿宋" w:eastAsia="仿宋" w:cs="仿宋"/>
                <w:color w:val="000000"/>
                <w:spacing w:val="0"/>
                <w:w w:val="100"/>
                <w:position w:val="0"/>
                <w:sz w:val="24"/>
                <w:szCs w:val="24"/>
                <w:highlight w:val="none"/>
                <w:lang w:val="zh-CN" w:eastAsia="zh-CN" w:bidi="zh-CN"/>
              </w:rPr>
              <w:t>“三同</w:t>
            </w:r>
            <w:r>
              <w:rPr>
                <w:rFonts w:hint="eastAsia" w:ascii="仿宋" w:hAnsi="仿宋" w:eastAsia="仿宋" w:cs="仿宋"/>
                <w:color w:val="000000"/>
                <w:spacing w:val="0"/>
                <w:w w:val="100"/>
                <w:position w:val="0"/>
                <w:sz w:val="24"/>
                <w:szCs w:val="24"/>
                <w:highlight w:val="none"/>
              </w:rPr>
              <w:t>时”制度。供水人口在10000人或日供水1000吨以上的饮用水源每季度监测一次。</w:t>
            </w:r>
          </w:p>
        </w:tc>
        <w:tc>
          <w:tcPr>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4"/>
                <w:szCs w:val="24"/>
                <w:highlight w:val="none"/>
                <w:lang w:eastAsia="zh-CN"/>
              </w:rPr>
            </w:pPr>
            <w:r>
              <w:rPr>
                <w:rFonts w:hint="eastAsia" w:ascii="仿宋" w:hAnsi="仿宋" w:eastAsia="仿宋" w:cs="仿宋"/>
                <w:color w:val="000000"/>
                <w:spacing w:val="0"/>
                <w:w w:val="100"/>
                <w:position w:val="0"/>
                <w:sz w:val="24"/>
                <w:szCs w:val="24"/>
                <w:highlight w:val="none"/>
                <w:lang w:eastAsia="zh-CN"/>
              </w:rPr>
              <w:t>持续推进</w:t>
            </w:r>
          </w:p>
        </w:tc>
        <w:tc>
          <w:tcPr>
            <w:tcW w:w="400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4"/>
                <w:szCs w:val="24"/>
                <w:highlight w:val="none"/>
                <w:lang w:eastAsia="zh-CN"/>
              </w:rPr>
            </w:pPr>
            <w:r>
              <w:rPr>
                <w:rFonts w:hint="eastAsia" w:ascii="仿宋" w:hAnsi="仿宋" w:eastAsia="仿宋" w:cs="仿宋"/>
                <w:color w:val="000000"/>
                <w:spacing w:val="0"/>
                <w:w w:val="100"/>
                <w:position w:val="0"/>
                <w:sz w:val="24"/>
                <w:szCs w:val="24"/>
                <w:highlight w:val="none"/>
                <w:lang w:eastAsia="zh-CN"/>
              </w:rPr>
              <w:t>富锦市人民政府、佳木斯市富锦生态环境局</w:t>
            </w:r>
          </w:p>
        </w:tc>
      </w:tr>
      <w:tr>
        <w:tblPrEx>
          <w:tblCellMar>
            <w:top w:w="0" w:type="dxa"/>
            <w:left w:w="10" w:type="dxa"/>
            <w:bottom w:w="0" w:type="dxa"/>
            <w:right w:w="10" w:type="dxa"/>
          </w:tblCellMar>
        </w:tblPrEx>
        <w:trPr>
          <w:trHeight w:val="1032" w:hRule="exact"/>
          <w:jc w:val="center"/>
        </w:trPr>
        <w:tc>
          <w:tcPr>
            <w:tcW w:w="1320" w:type="dxa"/>
            <w:vMerge w:val="continue"/>
            <w:tcBorders>
              <w:left w:val="single" w:color="auto" w:sz="4" w:space="0"/>
            </w:tcBorders>
            <w:shd w:val="clear" w:color="auto" w:fill="FFFFFF"/>
            <w:vAlign w:val="center"/>
          </w:tcPr>
          <w:p>
            <w:pPr>
              <w:pStyle w:val="6"/>
              <w:keepNext w:val="0"/>
              <w:keepLines w:val="0"/>
              <w:widowControl w:val="0"/>
              <w:shd w:val="clear" w:color="auto" w:fill="auto"/>
              <w:bidi w:val="0"/>
              <w:spacing w:before="0" w:after="0" w:line="318" w:lineRule="exact"/>
              <w:ind w:left="0" w:leftChars="0" w:right="0" w:rightChars="0" w:firstLine="200" w:firstLineChars="0"/>
              <w:jc w:val="both"/>
              <w:rPr>
                <w:rFonts w:hint="eastAsia" w:ascii="仿宋" w:hAnsi="仿宋" w:eastAsia="仿宋" w:cs="仿宋"/>
                <w:color w:val="000000"/>
                <w:spacing w:val="0"/>
                <w:w w:val="100"/>
                <w:position w:val="0"/>
                <w:sz w:val="24"/>
                <w:szCs w:val="24"/>
                <w:highlight w:val="none"/>
              </w:rPr>
            </w:pPr>
          </w:p>
        </w:tc>
        <w:tc>
          <w:tcPr>
            <w:tcW w:w="1662" w:type="dxa"/>
            <w:vMerge w:val="continue"/>
            <w:tcBorders>
              <w:left w:val="single" w:color="auto" w:sz="4" w:space="0"/>
            </w:tcBorders>
            <w:shd w:val="clear" w:color="auto" w:fill="FFFFFF"/>
            <w:vAlign w:val="center"/>
          </w:tcPr>
          <w:p>
            <w:pPr>
              <w:pStyle w:val="6"/>
              <w:keepNext w:val="0"/>
              <w:keepLines w:val="0"/>
              <w:widowControl w:val="0"/>
              <w:shd w:val="clear" w:color="auto" w:fill="auto"/>
              <w:bidi w:val="0"/>
              <w:spacing w:before="0" w:after="0" w:line="330" w:lineRule="exact"/>
              <w:ind w:left="0" w:leftChars="0" w:right="0" w:rightChars="0" w:firstLine="0" w:firstLineChars="0"/>
              <w:jc w:val="center"/>
              <w:rPr>
                <w:rFonts w:hint="eastAsia" w:ascii="仿宋" w:hAnsi="仿宋" w:eastAsia="仿宋" w:cs="仿宋"/>
                <w:b/>
                <w:bCs/>
                <w:color w:val="000000"/>
                <w:spacing w:val="0"/>
                <w:w w:val="100"/>
                <w:position w:val="0"/>
                <w:sz w:val="24"/>
                <w:szCs w:val="24"/>
                <w:highlight w:val="none"/>
              </w:rPr>
            </w:pPr>
          </w:p>
        </w:tc>
        <w:tc>
          <w:tcPr>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318" w:lineRule="exact"/>
              <w:ind w:left="0" w:right="0" w:firstLine="0"/>
              <w:jc w:val="both"/>
              <w:rPr>
                <w:rFonts w:hint="eastAsia" w:ascii="仿宋" w:hAnsi="仿宋" w:eastAsia="仿宋" w:cs="仿宋"/>
                <w:color w:val="000000"/>
                <w:spacing w:val="0"/>
                <w:w w:val="100"/>
                <w:position w:val="0"/>
                <w:sz w:val="24"/>
                <w:szCs w:val="24"/>
                <w:highlight w:val="none"/>
                <w:lang w:eastAsia="zh-CN"/>
              </w:rPr>
            </w:pPr>
            <w:r>
              <w:rPr>
                <w:rFonts w:hint="eastAsia" w:ascii="仿宋" w:hAnsi="仿宋" w:eastAsia="仿宋" w:cs="仿宋"/>
                <w:color w:val="000000"/>
                <w:spacing w:val="0"/>
                <w:w w:val="100"/>
                <w:position w:val="0"/>
                <w:sz w:val="24"/>
                <w:szCs w:val="24"/>
                <w:highlight w:val="none"/>
                <w:lang w:eastAsia="zh-CN"/>
              </w:rPr>
              <w:t>⑦</w:t>
            </w:r>
            <w:r>
              <w:rPr>
                <w:rFonts w:hint="eastAsia" w:ascii="仿宋" w:hAnsi="仿宋" w:eastAsia="仿宋" w:cs="仿宋"/>
                <w:color w:val="000000"/>
                <w:spacing w:val="0"/>
                <w:w w:val="100"/>
                <w:position w:val="0"/>
                <w:sz w:val="24"/>
                <w:szCs w:val="24"/>
                <w:highlight w:val="none"/>
              </w:rPr>
              <w:t>以供水人口在10000人或日供水1000吨以上的地下水饮用水源为重点，对可能影响农村地下水型饮用水源环境安全的风险源进行排查，依法清理水源保护区内环境违法问题。</w:t>
            </w:r>
          </w:p>
        </w:tc>
        <w:tc>
          <w:tcPr>
            <w:tcW w:w="1392"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80" w:line="240" w:lineRule="auto"/>
              <w:ind w:left="0" w:right="0" w:firstLine="0"/>
              <w:jc w:val="center"/>
              <w:rPr>
                <w:rFonts w:hint="eastAsia" w:ascii="仿宋" w:hAnsi="仿宋" w:eastAsia="仿宋" w:cs="仿宋"/>
                <w:sz w:val="24"/>
                <w:szCs w:val="24"/>
                <w:highlight w:val="none"/>
              </w:rPr>
            </w:pPr>
            <w:r>
              <w:rPr>
                <w:rFonts w:hint="eastAsia" w:ascii="仿宋" w:hAnsi="仿宋" w:eastAsia="仿宋" w:cs="仿宋"/>
                <w:color w:val="000000"/>
                <w:spacing w:val="0"/>
                <w:w w:val="100"/>
                <w:position w:val="0"/>
                <w:sz w:val="24"/>
                <w:szCs w:val="24"/>
                <w:highlight w:val="none"/>
              </w:rPr>
              <w:t>202</w:t>
            </w:r>
            <w:r>
              <w:rPr>
                <w:rFonts w:hint="eastAsia" w:ascii="仿宋" w:hAnsi="仿宋" w:eastAsia="仿宋" w:cs="仿宋"/>
                <w:color w:val="000000"/>
                <w:spacing w:val="0"/>
                <w:w w:val="100"/>
                <w:position w:val="0"/>
                <w:sz w:val="24"/>
                <w:szCs w:val="24"/>
                <w:highlight w:val="none"/>
                <w:lang w:val="en-US" w:eastAsia="zh-CN"/>
              </w:rPr>
              <w:t>1</w:t>
            </w:r>
            <w:r>
              <w:rPr>
                <w:rFonts w:hint="eastAsia" w:ascii="仿宋" w:hAnsi="仿宋" w:eastAsia="仿宋" w:cs="仿宋"/>
                <w:color w:val="000000"/>
                <w:spacing w:val="0"/>
                <w:w w:val="100"/>
                <w:position w:val="0"/>
                <w:sz w:val="24"/>
                <w:szCs w:val="24"/>
                <w:highlight w:val="none"/>
              </w:rPr>
              <w:t>年</w:t>
            </w:r>
          </w:p>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highlight w:val="none"/>
                <w:lang w:eastAsia="zh-CN"/>
              </w:rPr>
            </w:pPr>
            <w:r>
              <w:rPr>
                <w:rFonts w:hint="eastAsia" w:ascii="仿宋" w:hAnsi="仿宋" w:eastAsia="仿宋" w:cs="仿宋"/>
                <w:color w:val="000000"/>
                <w:spacing w:val="0"/>
                <w:w w:val="100"/>
                <w:position w:val="0"/>
                <w:sz w:val="24"/>
                <w:szCs w:val="24"/>
                <w:highlight w:val="none"/>
              </w:rPr>
              <w:t>启动</w:t>
            </w:r>
          </w:p>
        </w:tc>
        <w:tc>
          <w:tcPr>
            <w:tcW w:w="17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highlight w:val="none"/>
                <w:lang w:eastAsia="zh-CN"/>
              </w:rPr>
            </w:pPr>
            <w:r>
              <w:rPr>
                <w:rFonts w:hint="eastAsia" w:ascii="仿宋" w:hAnsi="仿宋" w:eastAsia="仿宋" w:cs="仿宋"/>
                <w:color w:val="000000"/>
                <w:spacing w:val="0"/>
                <w:w w:val="100"/>
                <w:position w:val="0"/>
                <w:sz w:val="24"/>
                <w:szCs w:val="24"/>
                <w:highlight w:val="none"/>
                <w:lang w:eastAsia="zh-CN"/>
              </w:rPr>
              <w:t>富锦市人民政府</w:t>
            </w:r>
          </w:p>
        </w:tc>
        <w:tc>
          <w:tcPr>
            <w:tcW w:w="229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highlight w:val="none"/>
                <w:lang w:eastAsia="zh-CN"/>
              </w:rPr>
            </w:pPr>
            <w:r>
              <w:rPr>
                <w:rFonts w:hint="eastAsia" w:ascii="仿宋" w:hAnsi="仿宋" w:eastAsia="仿宋" w:cs="仿宋"/>
                <w:color w:val="000000"/>
                <w:spacing w:val="0"/>
                <w:w w:val="100"/>
                <w:position w:val="0"/>
                <w:sz w:val="24"/>
                <w:szCs w:val="24"/>
                <w:highlight w:val="none"/>
                <w:lang w:eastAsia="zh-CN"/>
              </w:rPr>
              <w:t>佳木斯市富锦生态环境局，市</w:t>
            </w:r>
            <w:r>
              <w:rPr>
                <w:rFonts w:hint="eastAsia" w:ascii="仿宋" w:hAnsi="仿宋" w:eastAsia="仿宋" w:cs="仿宋"/>
                <w:color w:val="000000"/>
                <w:spacing w:val="0"/>
                <w:w w:val="100"/>
                <w:position w:val="0"/>
                <w:sz w:val="24"/>
                <w:szCs w:val="24"/>
                <w:highlight w:val="none"/>
              </w:rPr>
              <w:t>自然资源</w:t>
            </w:r>
            <w:r>
              <w:rPr>
                <w:rFonts w:hint="eastAsia" w:ascii="仿宋" w:hAnsi="仿宋" w:eastAsia="仿宋" w:cs="仿宋"/>
                <w:color w:val="000000"/>
                <w:spacing w:val="0"/>
                <w:w w:val="100"/>
                <w:position w:val="0"/>
                <w:sz w:val="24"/>
                <w:szCs w:val="24"/>
                <w:highlight w:val="none"/>
                <w:lang w:eastAsia="zh-CN"/>
              </w:rPr>
              <w:t>局等</w:t>
            </w:r>
          </w:p>
        </w:tc>
      </w:tr>
      <w:tr>
        <w:tblPrEx>
          <w:tblCellMar>
            <w:top w:w="0" w:type="dxa"/>
            <w:left w:w="10" w:type="dxa"/>
            <w:bottom w:w="0" w:type="dxa"/>
            <w:right w:w="10" w:type="dxa"/>
          </w:tblCellMar>
        </w:tblPrEx>
        <w:trPr>
          <w:trHeight w:val="752" w:hRule="exact"/>
          <w:jc w:val="center"/>
        </w:trPr>
        <w:tc>
          <w:tcPr>
            <w:tcW w:w="1320" w:type="dxa"/>
            <w:vMerge w:val="continue"/>
            <w:tcBorders>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318" w:lineRule="exact"/>
              <w:ind w:left="0" w:leftChars="0" w:right="0" w:rightChars="0" w:firstLine="200" w:firstLineChars="0"/>
              <w:jc w:val="both"/>
              <w:rPr>
                <w:rFonts w:hint="eastAsia" w:ascii="仿宋" w:hAnsi="仿宋" w:eastAsia="仿宋" w:cs="仿宋"/>
                <w:color w:val="000000"/>
                <w:spacing w:val="0"/>
                <w:w w:val="100"/>
                <w:position w:val="0"/>
                <w:sz w:val="24"/>
                <w:szCs w:val="24"/>
                <w:highlight w:val="none"/>
              </w:rPr>
            </w:pPr>
          </w:p>
        </w:tc>
        <w:tc>
          <w:tcPr>
            <w:tcW w:w="1662" w:type="dxa"/>
            <w:vMerge w:val="continue"/>
            <w:tcBorders>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330" w:lineRule="exact"/>
              <w:ind w:left="0" w:leftChars="0" w:right="0" w:rightChars="0" w:firstLine="0" w:firstLineChars="0"/>
              <w:jc w:val="center"/>
              <w:rPr>
                <w:rFonts w:hint="eastAsia" w:ascii="仿宋" w:hAnsi="仿宋" w:eastAsia="仿宋" w:cs="仿宋"/>
                <w:b/>
                <w:bCs/>
                <w:color w:val="000000"/>
                <w:spacing w:val="0"/>
                <w:w w:val="100"/>
                <w:position w:val="0"/>
                <w:sz w:val="24"/>
                <w:szCs w:val="24"/>
                <w:highlight w:val="none"/>
              </w:rPr>
            </w:pPr>
          </w:p>
        </w:tc>
        <w:tc>
          <w:tcPr>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318" w:lineRule="exact"/>
              <w:ind w:left="0" w:right="0" w:firstLine="0"/>
              <w:jc w:val="both"/>
              <w:rPr>
                <w:rFonts w:hint="eastAsia" w:ascii="仿宋" w:hAnsi="仿宋" w:eastAsia="仿宋" w:cs="仿宋"/>
                <w:color w:val="000000"/>
                <w:spacing w:val="0"/>
                <w:w w:val="100"/>
                <w:position w:val="0"/>
                <w:sz w:val="24"/>
                <w:szCs w:val="24"/>
                <w:highlight w:val="none"/>
                <w:lang w:eastAsia="zh-CN"/>
              </w:rPr>
            </w:pPr>
            <w:r>
              <w:rPr>
                <w:rFonts w:hint="eastAsia" w:ascii="仿宋" w:hAnsi="仿宋" w:eastAsia="仿宋" w:cs="仿宋"/>
                <w:color w:val="000000"/>
                <w:spacing w:val="0"/>
                <w:w w:val="100"/>
                <w:position w:val="0"/>
                <w:sz w:val="24"/>
                <w:szCs w:val="24"/>
                <w:highlight w:val="none"/>
                <w:lang w:eastAsia="zh-CN"/>
              </w:rPr>
              <w:t>⑧对水质不达标的水源，采取水质净化、水源更换、联村并网、污染治理等措施，确保农村饮水安全。</w:t>
            </w:r>
          </w:p>
        </w:tc>
        <w:tc>
          <w:tcPr>
            <w:tcW w:w="1392"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100" w:line="240" w:lineRule="auto"/>
              <w:ind w:left="0" w:right="0" w:firstLine="0"/>
              <w:jc w:val="center"/>
              <w:rPr>
                <w:rFonts w:hint="eastAsia" w:ascii="仿宋" w:hAnsi="仿宋" w:eastAsia="仿宋" w:cs="仿宋"/>
                <w:sz w:val="24"/>
                <w:szCs w:val="24"/>
                <w:highlight w:val="none"/>
              </w:rPr>
            </w:pPr>
            <w:r>
              <w:rPr>
                <w:rFonts w:hint="eastAsia" w:ascii="仿宋" w:hAnsi="仿宋" w:eastAsia="仿宋" w:cs="仿宋"/>
                <w:color w:val="000000"/>
                <w:spacing w:val="0"/>
                <w:w w:val="100"/>
                <w:position w:val="0"/>
                <w:sz w:val="24"/>
                <w:szCs w:val="24"/>
                <w:highlight w:val="none"/>
              </w:rPr>
              <w:t>202</w:t>
            </w:r>
            <w:r>
              <w:rPr>
                <w:rFonts w:hint="eastAsia" w:ascii="仿宋" w:hAnsi="仿宋" w:eastAsia="仿宋" w:cs="仿宋"/>
                <w:color w:val="000000"/>
                <w:spacing w:val="0"/>
                <w:w w:val="100"/>
                <w:position w:val="0"/>
                <w:sz w:val="24"/>
                <w:szCs w:val="24"/>
                <w:highlight w:val="none"/>
                <w:lang w:val="en-US" w:eastAsia="zh-CN"/>
              </w:rPr>
              <w:t>1</w:t>
            </w:r>
            <w:r>
              <w:rPr>
                <w:rFonts w:hint="eastAsia" w:ascii="仿宋" w:hAnsi="仿宋" w:eastAsia="仿宋" w:cs="仿宋"/>
                <w:color w:val="000000"/>
                <w:spacing w:val="0"/>
                <w:w w:val="100"/>
                <w:position w:val="0"/>
                <w:sz w:val="24"/>
                <w:szCs w:val="24"/>
                <w:highlight w:val="none"/>
              </w:rPr>
              <w:t>年</w:t>
            </w:r>
          </w:p>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highlight w:val="none"/>
              </w:rPr>
            </w:pPr>
            <w:r>
              <w:rPr>
                <w:rFonts w:hint="eastAsia" w:ascii="仿宋" w:hAnsi="仿宋" w:eastAsia="仿宋" w:cs="仿宋"/>
                <w:color w:val="000000"/>
                <w:spacing w:val="0"/>
                <w:w w:val="100"/>
                <w:position w:val="0"/>
                <w:sz w:val="24"/>
                <w:szCs w:val="24"/>
                <w:highlight w:val="none"/>
              </w:rPr>
              <w:t>年启动</w:t>
            </w:r>
          </w:p>
        </w:tc>
        <w:tc>
          <w:tcPr>
            <w:tcW w:w="17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80" w:line="240" w:lineRule="auto"/>
              <w:ind w:left="0" w:right="0" w:firstLine="0"/>
              <w:jc w:val="center"/>
              <w:rPr>
                <w:rFonts w:hint="eastAsia" w:ascii="仿宋" w:hAnsi="仿宋" w:eastAsia="仿宋" w:cs="仿宋"/>
                <w:color w:val="000000"/>
                <w:spacing w:val="0"/>
                <w:w w:val="100"/>
                <w:position w:val="0"/>
                <w:sz w:val="24"/>
                <w:szCs w:val="24"/>
                <w:highlight w:val="none"/>
                <w:lang w:eastAsia="zh-CN"/>
              </w:rPr>
            </w:pPr>
            <w:r>
              <w:rPr>
                <w:rFonts w:hint="eastAsia" w:ascii="仿宋" w:hAnsi="仿宋" w:eastAsia="仿宋" w:cs="仿宋"/>
                <w:color w:val="000000"/>
                <w:spacing w:val="0"/>
                <w:w w:val="100"/>
                <w:position w:val="0"/>
                <w:sz w:val="24"/>
                <w:szCs w:val="24"/>
                <w:highlight w:val="none"/>
                <w:lang w:eastAsia="zh-CN"/>
              </w:rPr>
              <w:t>富锦市人民政府</w:t>
            </w:r>
          </w:p>
        </w:tc>
        <w:tc>
          <w:tcPr>
            <w:tcW w:w="229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highlight w:val="none"/>
                <w:lang w:eastAsia="zh-CN"/>
              </w:rPr>
            </w:pPr>
            <w:r>
              <w:rPr>
                <w:rFonts w:hint="eastAsia" w:ascii="仿宋" w:hAnsi="仿宋" w:eastAsia="仿宋" w:cs="仿宋"/>
                <w:color w:val="000000"/>
                <w:spacing w:val="0"/>
                <w:w w:val="100"/>
                <w:position w:val="0"/>
                <w:sz w:val="24"/>
                <w:szCs w:val="24"/>
                <w:highlight w:val="none"/>
                <w:lang w:eastAsia="zh-CN"/>
              </w:rPr>
              <w:t>市水务局，佳木斯市富锦生态环境局等</w:t>
            </w:r>
          </w:p>
        </w:tc>
      </w:tr>
      <w:tr>
        <w:tblPrEx>
          <w:tblCellMar>
            <w:top w:w="0" w:type="dxa"/>
            <w:left w:w="10" w:type="dxa"/>
            <w:bottom w:w="0" w:type="dxa"/>
            <w:right w:w="10" w:type="dxa"/>
          </w:tblCellMar>
        </w:tblPrEx>
        <w:trPr>
          <w:trHeight w:val="1962" w:hRule="exact"/>
          <w:jc w:val="center"/>
        </w:trPr>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24" w:lineRule="exact"/>
              <w:ind w:left="0" w:leftChars="0" w:right="0" w:rightChars="0" w:firstLine="0" w:firstLineChars="0"/>
              <w:jc w:val="center"/>
              <w:rPr>
                <w:rFonts w:hint="eastAsia" w:ascii="仿宋" w:hAnsi="仿宋" w:eastAsia="仿宋" w:cs="仿宋"/>
                <w:color w:val="000000"/>
                <w:spacing w:val="0"/>
                <w:w w:val="100"/>
                <w:position w:val="0"/>
                <w:sz w:val="24"/>
                <w:szCs w:val="24"/>
                <w:highlight w:val="none"/>
              </w:rPr>
            </w:pPr>
            <w:r>
              <w:rPr>
                <w:rFonts w:hint="eastAsia" w:ascii="仿宋" w:hAnsi="仿宋" w:eastAsia="仿宋" w:cs="仿宋"/>
                <w:color w:val="000000"/>
                <w:spacing w:val="0"/>
                <w:w w:val="100"/>
                <w:position w:val="0"/>
                <w:sz w:val="24"/>
                <w:szCs w:val="24"/>
                <w:highlight w:val="none"/>
              </w:rPr>
              <w:t>（二）建立地 下水污染防治 管理体系</w:t>
            </w:r>
          </w:p>
        </w:tc>
        <w:tc>
          <w:tcPr>
            <w:tcW w:w="1662" w:type="dxa"/>
            <w:tcBorders>
              <w:top w:val="single" w:color="auto" w:sz="4" w:space="0"/>
              <w:left w:val="single" w:color="auto" w:sz="4" w:space="0"/>
              <w:bottom w:val="nil"/>
              <w:right w:val="single" w:color="auto" w:sz="4" w:space="0"/>
            </w:tcBorders>
            <w:shd w:val="clear" w:color="auto" w:fill="FFFFFF"/>
            <w:vAlign w:val="center"/>
          </w:tcPr>
          <w:p>
            <w:pPr>
              <w:pStyle w:val="6"/>
              <w:keepNext w:val="0"/>
              <w:keepLines w:val="0"/>
              <w:widowControl w:val="0"/>
              <w:shd w:val="clear" w:color="auto" w:fill="auto"/>
              <w:bidi w:val="0"/>
              <w:spacing w:before="0" w:after="0" w:line="330" w:lineRule="exact"/>
              <w:ind w:left="0" w:leftChars="0" w:right="0" w:rightChars="0" w:firstLine="0" w:firstLineChars="0"/>
              <w:jc w:val="center"/>
              <w:rPr>
                <w:rFonts w:hint="eastAsia" w:ascii="仿宋" w:hAnsi="仿宋" w:eastAsia="仿宋" w:cs="仿宋"/>
                <w:b/>
                <w:bCs/>
                <w:color w:val="000000"/>
                <w:spacing w:val="0"/>
                <w:w w:val="100"/>
                <w:position w:val="0"/>
                <w:sz w:val="24"/>
                <w:szCs w:val="24"/>
                <w:highlight w:val="none"/>
              </w:rPr>
            </w:pPr>
            <w:r>
              <w:rPr>
                <w:rFonts w:hint="eastAsia" w:ascii="仿宋" w:hAnsi="仿宋" w:eastAsia="仿宋" w:cs="仿宋"/>
                <w:b/>
                <w:bCs/>
                <w:color w:val="000000"/>
                <w:spacing w:val="0"/>
                <w:w w:val="100"/>
                <w:position w:val="0"/>
                <w:sz w:val="24"/>
                <w:szCs w:val="24"/>
                <w:highlight w:val="none"/>
                <w:lang w:val="en-US" w:eastAsia="en-US" w:bidi="en-US"/>
              </w:rPr>
              <w:t>3.</w:t>
            </w:r>
            <w:r>
              <w:rPr>
                <w:rFonts w:hint="eastAsia" w:ascii="仿宋" w:hAnsi="仿宋" w:eastAsia="仿宋" w:cs="仿宋"/>
                <w:b/>
                <w:bCs/>
                <w:color w:val="000000"/>
                <w:spacing w:val="0"/>
                <w:w w:val="100"/>
                <w:position w:val="0"/>
                <w:sz w:val="24"/>
                <w:szCs w:val="24"/>
                <w:highlight w:val="none"/>
              </w:rPr>
              <w:t>完善地下水环境监测网</w:t>
            </w:r>
          </w:p>
        </w:tc>
        <w:tc>
          <w:tcPr>
            <w:tcW w:w="7038"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322" w:lineRule="exact"/>
              <w:ind w:left="0" w:leftChars="0" w:right="0" w:rightChars="0" w:firstLine="0" w:firstLineChars="0"/>
              <w:jc w:val="both"/>
              <w:rPr>
                <w:rFonts w:hint="eastAsia" w:ascii="仿宋" w:hAnsi="仿宋" w:eastAsia="仿宋" w:cs="仿宋"/>
                <w:color w:val="000000"/>
                <w:spacing w:val="0"/>
                <w:w w:val="100"/>
                <w:position w:val="0"/>
                <w:sz w:val="24"/>
                <w:szCs w:val="24"/>
                <w:highlight w:val="none"/>
                <w:lang w:eastAsia="zh-CN"/>
              </w:rPr>
            </w:pPr>
            <w:r>
              <w:rPr>
                <w:rFonts w:hint="eastAsia" w:ascii="仿宋" w:hAnsi="仿宋" w:eastAsia="仿宋" w:cs="仿宋"/>
                <w:color w:val="000000"/>
                <w:spacing w:val="0"/>
                <w:w w:val="100"/>
                <w:position w:val="0"/>
                <w:sz w:val="24"/>
                <w:szCs w:val="24"/>
                <w:highlight w:val="none"/>
              </w:rPr>
              <w:t>①制定《</w:t>
            </w:r>
            <w:r>
              <w:rPr>
                <w:rFonts w:hint="eastAsia" w:ascii="仿宋" w:hAnsi="仿宋" w:eastAsia="仿宋" w:cs="仿宋"/>
                <w:color w:val="000000"/>
                <w:spacing w:val="0"/>
                <w:w w:val="100"/>
                <w:position w:val="0"/>
                <w:sz w:val="24"/>
                <w:szCs w:val="24"/>
                <w:highlight w:val="none"/>
                <w:lang w:eastAsia="zh-CN"/>
              </w:rPr>
              <w:t>富锦市</w:t>
            </w:r>
            <w:r>
              <w:rPr>
                <w:rFonts w:hint="eastAsia" w:ascii="仿宋" w:hAnsi="仿宋" w:eastAsia="仿宋" w:cs="仿宋"/>
                <w:color w:val="000000"/>
                <w:spacing w:val="0"/>
                <w:w w:val="100"/>
                <w:position w:val="0"/>
                <w:sz w:val="24"/>
                <w:szCs w:val="24"/>
                <w:highlight w:val="none"/>
              </w:rPr>
              <w:t>地下水污染防治规划</w:t>
            </w:r>
            <w:r>
              <w:rPr>
                <w:rFonts w:hint="eastAsia" w:ascii="仿宋" w:hAnsi="仿宋" w:eastAsia="仿宋" w:cs="仿宋"/>
                <w:color w:val="000000"/>
                <w:spacing w:val="0"/>
                <w:w w:val="100"/>
                <w:position w:val="0"/>
                <w:sz w:val="24"/>
                <w:szCs w:val="24"/>
                <w:highlight w:val="none"/>
                <w:lang w:val="en-US" w:eastAsia="en-US" w:bidi="en-US"/>
              </w:rPr>
              <w:t>（2021-2025</w:t>
            </w:r>
            <w:r>
              <w:rPr>
                <w:rFonts w:hint="eastAsia" w:ascii="仿宋" w:hAnsi="仿宋" w:eastAsia="仿宋" w:cs="仿宋"/>
                <w:color w:val="000000"/>
                <w:spacing w:val="0"/>
                <w:w w:val="100"/>
                <w:position w:val="0"/>
                <w:sz w:val="24"/>
                <w:szCs w:val="24"/>
                <w:highlight w:val="none"/>
              </w:rPr>
              <w:t>年）》，市</w:t>
            </w:r>
            <w:r>
              <w:rPr>
                <w:rFonts w:hint="eastAsia" w:ascii="仿宋" w:hAnsi="仿宋" w:eastAsia="仿宋" w:cs="仿宋"/>
                <w:color w:val="000000"/>
                <w:spacing w:val="0"/>
                <w:w w:val="100"/>
                <w:position w:val="0"/>
                <w:sz w:val="24"/>
                <w:szCs w:val="24"/>
                <w:highlight w:val="none"/>
                <w:lang w:eastAsia="zh-CN"/>
              </w:rPr>
              <w:t>政府</w:t>
            </w:r>
            <w:r>
              <w:rPr>
                <w:rFonts w:hint="eastAsia" w:ascii="仿宋" w:hAnsi="仿宋" w:eastAsia="仿宋" w:cs="仿宋"/>
                <w:color w:val="000000"/>
                <w:spacing w:val="0"/>
                <w:w w:val="100"/>
                <w:position w:val="0"/>
                <w:sz w:val="24"/>
                <w:szCs w:val="24"/>
                <w:highlight w:val="none"/>
              </w:rPr>
              <w:t>要组织编制</w:t>
            </w:r>
            <w:r>
              <w:rPr>
                <w:rFonts w:hint="eastAsia" w:ascii="仿宋" w:hAnsi="仿宋" w:eastAsia="仿宋" w:cs="仿宋"/>
                <w:color w:val="000000"/>
                <w:spacing w:val="0"/>
                <w:w w:val="100"/>
                <w:position w:val="0"/>
                <w:sz w:val="24"/>
                <w:szCs w:val="24"/>
                <w:highlight w:val="none"/>
                <w:lang w:val="en-US" w:eastAsia="en-US" w:bidi="en-US"/>
              </w:rPr>
              <w:t>2021-2025</w:t>
            </w:r>
            <w:r>
              <w:rPr>
                <w:rFonts w:hint="eastAsia" w:ascii="仿宋" w:hAnsi="仿宋" w:eastAsia="仿宋" w:cs="仿宋"/>
                <w:color w:val="000000"/>
                <w:spacing w:val="0"/>
                <w:w w:val="100"/>
                <w:position w:val="0"/>
                <w:sz w:val="24"/>
                <w:szCs w:val="24"/>
                <w:highlight w:val="none"/>
              </w:rPr>
              <w:t>年地下水污染防治规划，细化落实水、土壤污染防治法的要求，以保护和改善地下水环境质量为核心，坚持综合施策，落实地下水污染防治主体责任，包括地下水污染状况调查、监测、评估、风险防控、修复等</w:t>
            </w:r>
            <w:r>
              <w:rPr>
                <w:rFonts w:hint="eastAsia" w:ascii="仿宋" w:hAnsi="仿宋" w:eastAsia="仿宋" w:cs="仿宋"/>
                <w:color w:val="000000"/>
                <w:spacing w:val="0"/>
                <w:w w:val="100"/>
                <w:position w:val="0"/>
                <w:sz w:val="24"/>
                <w:szCs w:val="24"/>
                <w:highlight w:val="none"/>
                <w:lang w:eastAsia="zh-CN"/>
              </w:rPr>
              <w:t>，</w:t>
            </w:r>
            <w:r>
              <w:rPr>
                <w:rFonts w:hint="eastAsia" w:ascii="仿宋" w:hAnsi="仿宋" w:eastAsia="仿宋" w:cs="仿宋"/>
                <w:color w:val="000000"/>
                <w:spacing w:val="0"/>
                <w:w w:val="100"/>
                <w:position w:val="0"/>
                <w:sz w:val="24"/>
                <w:szCs w:val="24"/>
                <w:highlight w:val="none"/>
              </w:rPr>
              <w:t>实现地下水污染防治</w:t>
            </w:r>
            <w:r>
              <w:rPr>
                <w:rFonts w:hint="eastAsia" w:ascii="仿宋" w:hAnsi="仿宋" w:eastAsia="仿宋" w:cs="仿宋"/>
                <w:color w:val="000000"/>
                <w:spacing w:val="0"/>
                <w:w w:val="100"/>
                <w:position w:val="0"/>
                <w:sz w:val="24"/>
                <w:szCs w:val="24"/>
                <w:highlight w:val="none"/>
                <w:lang w:eastAsia="zh-CN"/>
              </w:rPr>
              <w:t>全面</w:t>
            </w:r>
            <w:r>
              <w:rPr>
                <w:rFonts w:hint="eastAsia" w:ascii="仿宋" w:hAnsi="仿宋" w:eastAsia="仿宋" w:cs="仿宋"/>
                <w:color w:val="000000"/>
                <w:spacing w:val="0"/>
                <w:w w:val="100"/>
                <w:position w:val="0"/>
                <w:sz w:val="24"/>
                <w:szCs w:val="24"/>
                <w:highlight w:val="none"/>
              </w:rPr>
              <w:t>监管。</w:t>
            </w:r>
          </w:p>
        </w:tc>
        <w:tc>
          <w:tcPr>
            <w:tcW w:w="1392"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80" w:line="240" w:lineRule="auto"/>
              <w:ind w:left="0" w:right="0" w:firstLine="0"/>
              <w:jc w:val="center"/>
              <w:rPr>
                <w:rFonts w:hint="eastAsia" w:ascii="仿宋" w:hAnsi="仿宋" w:eastAsia="仿宋" w:cs="仿宋"/>
                <w:sz w:val="24"/>
                <w:szCs w:val="24"/>
                <w:highlight w:val="none"/>
              </w:rPr>
            </w:pPr>
            <w:r>
              <w:rPr>
                <w:rFonts w:hint="eastAsia" w:ascii="仿宋" w:hAnsi="仿宋" w:eastAsia="仿宋" w:cs="仿宋"/>
                <w:color w:val="000000"/>
                <w:spacing w:val="0"/>
                <w:w w:val="100"/>
                <w:position w:val="0"/>
                <w:sz w:val="24"/>
                <w:szCs w:val="24"/>
                <w:highlight w:val="none"/>
              </w:rPr>
              <w:t>2021年</w:t>
            </w:r>
          </w:p>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highlight w:val="none"/>
              </w:rPr>
            </w:pPr>
            <w:r>
              <w:rPr>
                <w:rFonts w:hint="eastAsia" w:ascii="仿宋" w:hAnsi="仿宋" w:eastAsia="仿宋" w:cs="仿宋"/>
                <w:color w:val="000000"/>
                <w:spacing w:val="0"/>
                <w:w w:val="100"/>
                <w:position w:val="0"/>
                <w:sz w:val="24"/>
                <w:szCs w:val="24"/>
                <w:highlight w:val="none"/>
              </w:rPr>
              <w:t>年底前</w:t>
            </w:r>
          </w:p>
        </w:tc>
        <w:tc>
          <w:tcPr>
            <w:tcW w:w="17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highlight w:val="none"/>
                <w:lang w:eastAsia="zh-CN"/>
              </w:rPr>
            </w:pPr>
            <w:r>
              <w:rPr>
                <w:rFonts w:hint="eastAsia" w:ascii="仿宋" w:hAnsi="仿宋" w:eastAsia="仿宋" w:cs="仿宋"/>
                <w:color w:val="000000"/>
                <w:spacing w:val="0"/>
                <w:w w:val="100"/>
                <w:position w:val="0"/>
                <w:sz w:val="24"/>
                <w:szCs w:val="24"/>
                <w:highlight w:val="none"/>
                <w:lang w:eastAsia="zh-CN"/>
              </w:rPr>
              <w:t>富锦市人民政府</w:t>
            </w:r>
          </w:p>
        </w:tc>
        <w:tc>
          <w:tcPr>
            <w:tcW w:w="229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24" w:lineRule="exact"/>
              <w:ind w:left="0" w:leftChars="0" w:right="0" w:rightChars="0" w:firstLine="0" w:firstLineChars="0"/>
              <w:jc w:val="center"/>
              <w:rPr>
                <w:rFonts w:hint="eastAsia" w:ascii="仿宋" w:hAnsi="仿宋" w:eastAsia="仿宋" w:cs="仿宋"/>
                <w:color w:val="000000"/>
                <w:spacing w:val="0"/>
                <w:w w:val="100"/>
                <w:position w:val="0"/>
                <w:sz w:val="24"/>
                <w:szCs w:val="24"/>
                <w:highlight w:val="none"/>
                <w:lang w:eastAsia="zh-CN"/>
              </w:rPr>
            </w:pPr>
            <w:r>
              <w:rPr>
                <w:rFonts w:hint="eastAsia" w:ascii="仿宋" w:hAnsi="仿宋" w:eastAsia="仿宋" w:cs="仿宋"/>
                <w:color w:val="000000"/>
                <w:spacing w:val="0"/>
                <w:w w:val="100"/>
                <w:position w:val="0"/>
                <w:sz w:val="24"/>
                <w:szCs w:val="24"/>
                <w:highlight w:val="none"/>
                <w:lang w:eastAsia="zh-CN"/>
              </w:rPr>
              <w:t>佳木斯市富锦生态环境局，市</w:t>
            </w:r>
            <w:r>
              <w:rPr>
                <w:rFonts w:hint="eastAsia" w:ascii="仿宋" w:hAnsi="仿宋" w:eastAsia="仿宋" w:cs="仿宋"/>
                <w:color w:val="000000"/>
                <w:spacing w:val="0"/>
                <w:w w:val="100"/>
                <w:position w:val="0"/>
                <w:sz w:val="24"/>
                <w:szCs w:val="24"/>
                <w:highlight w:val="none"/>
              </w:rPr>
              <w:t>自然资源</w:t>
            </w:r>
            <w:r>
              <w:rPr>
                <w:rFonts w:hint="eastAsia" w:ascii="仿宋" w:hAnsi="仿宋" w:eastAsia="仿宋" w:cs="仿宋"/>
                <w:color w:val="000000"/>
                <w:spacing w:val="0"/>
                <w:w w:val="100"/>
                <w:position w:val="0"/>
                <w:sz w:val="24"/>
                <w:szCs w:val="24"/>
                <w:highlight w:val="none"/>
                <w:lang w:eastAsia="zh-CN"/>
              </w:rPr>
              <w:t>局</w:t>
            </w:r>
            <w:r>
              <w:rPr>
                <w:rFonts w:hint="eastAsia" w:ascii="仿宋" w:hAnsi="仿宋" w:eastAsia="仿宋" w:cs="仿宋"/>
                <w:color w:val="000000"/>
                <w:spacing w:val="0"/>
                <w:w w:val="100"/>
                <w:position w:val="0"/>
                <w:sz w:val="24"/>
                <w:szCs w:val="24"/>
                <w:highlight w:val="none"/>
              </w:rPr>
              <w:t>、</w:t>
            </w:r>
            <w:r>
              <w:rPr>
                <w:rFonts w:hint="eastAsia" w:ascii="仿宋" w:hAnsi="仿宋" w:eastAsia="仿宋" w:cs="仿宋"/>
                <w:color w:val="000000"/>
                <w:spacing w:val="0"/>
                <w:w w:val="100"/>
                <w:position w:val="0"/>
                <w:sz w:val="24"/>
                <w:szCs w:val="24"/>
                <w:highlight w:val="none"/>
                <w:lang w:eastAsia="zh-CN"/>
              </w:rPr>
              <w:t>市水务局、</w:t>
            </w:r>
            <w:r>
              <w:rPr>
                <w:rFonts w:hint="eastAsia" w:ascii="仿宋" w:hAnsi="仿宋" w:eastAsia="仿宋" w:cs="仿宋"/>
                <w:color w:val="000000"/>
                <w:spacing w:val="0"/>
                <w:w w:val="100"/>
                <w:position w:val="0"/>
                <w:sz w:val="24"/>
                <w:szCs w:val="24"/>
                <w:highlight w:val="none"/>
                <w:lang w:val="en-US" w:eastAsia="zh-CN"/>
              </w:rPr>
              <w:t>市农业农村局、市住房和城乡建设局等</w:t>
            </w:r>
          </w:p>
        </w:tc>
      </w:tr>
      <w:tr>
        <w:tblPrEx>
          <w:tblCellMar>
            <w:top w:w="0" w:type="dxa"/>
            <w:left w:w="10" w:type="dxa"/>
            <w:bottom w:w="0" w:type="dxa"/>
            <w:right w:w="10" w:type="dxa"/>
          </w:tblCellMar>
        </w:tblPrEx>
        <w:trPr>
          <w:trHeight w:val="2597" w:hRule="exact"/>
          <w:jc w:val="center"/>
        </w:trPr>
        <w:tc>
          <w:tcPr>
            <w:tcW w:w="1320" w:type="dxa"/>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24" w:lineRule="exact"/>
              <w:ind w:left="0" w:leftChars="0" w:right="0" w:rightChars="0" w:firstLine="0" w:firstLineChars="0"/>
              <w:jc w:val="center"/>
              <w:rPr>
                <w:rFonts w:hint="eastAsia" w:ascii="仿宋" w:hAnsi="仿宋" w:eastAsia="仿宋" w:cs="仿宋"/>
                <w:color w:val="000000"/>
                <w:spacing w:val="0"/>
                <w:w w:val="100"/>
                <w:position w:val="0"/>
                <w:sz w:val="24"/>
                <w:szCs w:val="24"/>
                <w:highlight w:val="none"/>
              </w:rPr>
            </w:pPr>
            <w:r>
              <w:rPr>
                <w:rFonts w:hint="eastAsia" w:ascii="仿宋" w:hAnsi="仿宋" w:eastAsia="仿宋" w:cs="仿宋"/>
                <w:color w:val="000000"/>
                <w:spacing w:val="0"/>
                <w:w w:val="100"/>
                <w:position w:val="0"/>
                <w:sz w:val="24"/>
                <w:szCs w:val="24"/>
                <w:highlight w:val="none"/>
              </w:rPr>
              <w:t>（二）建立地 下水污染防治 管理体系</w:t>
            </w:r>
          </w:p>
        </w:tc>
        <w:tc>
          <w:tcPr>
            <w:tcW w:w="1662" w:type="dxa"/>
            <w:vMerge w:val="restart"/>
            <w:tcBorders>
              <w:top w:val="nil"/>
              <w:left w:val="single" w:color="auto" w:sz="4" w:space="0"/>
              <w:bottom w:val="nil"/>
              <w:right w:val="single" w:color="auto" w:sz="4" w:space="0"/>
            </w:tcBorders>
            <w:shd w:val="clear" w:color="auto" w:fill="FFFFFF"/>
            <w:vAlign w:val="center"/>
          </w:tcPr>
          <w:p>
            <w:pPr>
              <w:pStyle w:val="6"/>
              <w:keepNext w:val="0"/>
              <w:keepLines w:val="0"/>
              <w:widowControl w:val="0"/>
              <w:shd w:val="clear" w:color="auto" w:fill="auto"/>
              <w:bidi w:val="0"/>
              <w:spacing w:before="0" w:after="0" w:line="330" w:lineRule="exact"/>
              <w:ind w:left="0" w:leftChars="0" w:right="0" w:rightChars="0" w:firstLine="0" w:firstLineChars="0"/>
              <w:jc w:val="center"/>
              <w:rPr>
                <w:rFonts w:hint="eastAsia" w:ascii="仿宋" w:hAnsi="仿宋" w:eastAsia="仿宋" w:cs="仿宋"/>
                <w:b/>
                <w:bCs/>
                <w:color w:val="000000"/>
                <w:spacing w:val="0"/>
                <w:w w:val="100"/>
                <w:position w:val="0"/>
                <w:sz w:val="24"/>
                <w:szCs w:val="24"/>
                <w:highlight w:val="none"/>
                <w:lang w:val="en-US" w:eastAsia="en-US" w:bidi="en-US"/>
              </w:rPr>
            </w:pPr>
            <w:r>
              <w:rPr>
                <w:rFonts w:hint="eastAsia" w:ascii="仿宋" w:hAnsi="仿宋" w:eastAsia="仿宋" w:cs="仿宋"/>
                <w:b/>
                <w:bCs/>
                <w:color w:val="000000"/>
                <w:spacing w:val="0"/>
                <w:w w:val="100"/>
                <w:position w:val="0"/>
                <w:sz w:val="24"/>
                <w:szCs w:val="24"/>
                <w:highlight w:val="none"/>
                <w:lang w:val="en-US" w:eastAsia="en-US" w:bidi="en-US"/>
              </w:rPr>
              <w:t>3.</w:t>
            </w:r>
            <w:r>
              <w:rPr>
                <w:rFonts w:hint="eastAsia" w:ascii="仿宋" w:hAnsi="仿宋" w:eastAsia="仿宋" w:cs="仿宋"/>
                <w:b/>
                <w:bCs/>
                <w:color w:val="000000"/>
                <w:spacing w:val="0"/>
                <w:w w:val="100"/>
                <w:position w:val="0"/>
                <w:sz w:val="24"/>
                <w:szCs w:val="24"/>
                <w:highlight w:val="none"/>
              </w:rPr>
              <w:t>完善地下水 环境监测网</w:t>
            </w:r>
          </w:p>
        </w:tc>
        <w:tc>
          <w:tcPr>
            <w:tcW w:w="7038" w:type="dxa"/>
            <w:tcBorders>
              <w:top w:val="single" w:color="auto" w:sz="4" w:space="0"/>
              <w:left w:val="single" w:color="auto" w:sz="4" w:space="0"/>
              <w:bottom w:val="single" w:color="auto" w:sz="4" w:space="0"/>
            </w:tcBorders>
            <w:shd w:val="clear" w:color="auto" w:fill="FFFFFF"/>
            <w:vAlign w:val="bottom"/>
          </w:tcPr>
          <w:p>
            <w:pPr>
              <w:pStyle w:val="6"/>
              <w:keepNext w:val="0"/>
              <w:keepLines w:val="0"/>
              <w:widowControl w:val="0"/>
              <w:shd w:val="clear" w:color="auto" w:fill="auto"/>
              <w:bidi w:val="0"/>
              <w:spacing w:before="0" w:after="0" w:line="280" w:lineRule="exact"/>
              <w:ind w:left="0" w:leftChars="0" w:right="0" w:rightChars="0" w:firstLine="0" w:firstLineChars="0"/>
              <w:jc w:val="both"/>
              <w:rPr>
                <w:rFonts w:hint="eastAsia" w:ascii="仿宋" w:hAnsi="仿宋" w:eastAsia="仿宋" w:cs="仿宋"/>
                <w:color w:val="000000"/>
                <w:spacing w:val="0"/>
                <w:w w:val="100"/>
                <w:position w:val="0"/>
                <w:sz w:val="24"/>
                <w:szCs w:val="24"/>
                <w:highlight w:val="none"/>
              </w:rPr>
            </w:pPr>
            <w:r>
              <w:rPr>
                <w:rFonts w:hint="eastAsia" w:ascii="仿宋" w:hAnsi="仿宋" w:eastAsia="仿宋" w:cs="仿宋"/>
                <w:color w:val="000000"/>
                <w:spacing w:val="0"/>
                <w:w w:val="100"/>
                <w:position w:val="0"/>
                <w:sz w:val="24"/>
                <w:szCs w:val="24"/>
                <w:highlight w:val="none"/>
              </w:rPr>
              <w:t>②根据国家统一要求，衔接自然资源、水利部门已开展的国家地下水监测工程，整合建设项目环评要求设置的地下水污染跟踪监测井、地下水型饮用水源开采井、土壤污染状况详查监测井、地下水基础环境状况调查评估监测并、《中华人民共和国水污染防治法》要求的污染源地下水水质监测井等，加强现有地下水环境监测井的运行维护和管理，完善地下水监测数据管理和共享机制，实现部门间监测点位和数据资源共享；对“十三五”地下水考核点位进行优化，上报</w:t>
            </w:r>
            <w:r>
              <w:rPr>
                <w:rFonts w:hint="eastAsia" w:ascii="仿宋" w:hAnsi="仿宋" w:eastAsia="仿宋" w:cs="仿宋"/>
                <w:color w:val="000000"/>
                <w:spacing w:val="0"/>
                <w:w w:val="100"/>
                <w:position w:val="0"/>
                <w:sz w:val="24"/>
                <w:szCs w:val="24"/>
                <w:highlight w:val="none"/>
                <w:lang w:val="zh-CN" w:eastAsia="zh-CN" w:bidi="zh-CN"/>
              </w:rPr>
              <w:t>“十</w:t>
            </w:r>
            <w:r>
              <w:rPr>
                <w:rFonts w:hint="eastAsia" w:ascii="仿宋" w:hAnsi="仿宋" w:eastAsia="仿宋" w:cs="仿宋"/>
                <w:color w:val="000000"/>
                <w:spacing w:val="0"/>
                <w:w w:val="100"/>
                <w:position w:val="0"/>
                <w:sz w:val="24"/>
                <w:szCs w:val="24"/>
                <w:highlight w:val="none"/>
              </w:rPr>
              <w:t>四五”地下水考核点位建议；按照确定的考核点位和指标要求，完成一轮地下水环境质量监测。</w:t>
            </w:r>
          </w:p>
        </w:tc>
        <w:tc>
          <w:tcPr>
            <w:tcW w:w="1392"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80" w:line="240" w:lineRule="auto"/>
              <w:ind w:left="0" w:right="0" w:firstLine="0"/>
              <w:jc w:val="center"/>
              <w:rPr>
                <w:rFonts w:hint="eastAsia" w:ascii="仿宋" w:hAnsi="仿宋" w:eastAsia="仿宋" w:cs="仿宋"/>
                <w:sz w:val="24"/>
                <w:szCs w:val="24"/>
                <w:highlight w:val="none"/>
              </w:rPr>
            </w:pPr>
            <w:r>
              <w:rPr>
                <w:rFonts w:hint="eastAsia" w:ascii="仿宋" w:hAnsi="仿宋" w:eastAsia="仿宋" w:cs="仿宋"/>
                <w:color w:val="000000"/>
                <w:spacing w:val="0"/>
                <w:w w:val="100"/>
                <w:position w:val="0"/>
                <w:sz w:val="24"/>
                <w:szCs w:val="24"/>
                <w:highlight w:val="none"/>
              </w:rPr>
              <w:t>2021年</w:t>
            </w:r>
          </w:p>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highlight w:val="none"/>
              </w:rPr>
            </w:pPr>
            <w:r>
              <w:rPr>
                <w:rFonts w:hint="eastAsia" w:ascii="仿宋" w:hAnsi="仿宋" w:eastAsia="仿宋" w:cs="仿宋"/>
                <w:color w:val="000000"/>
                <w:spacing w:val="0"/>
                <w:w w:val="100"/>
                <w:position w:val="0"/>
                <w:sz w:val="24"/>
                <w:szCs w:val="24"/>
                <w:highlight w:val="none"/>
              </w:rPr>
              <w:t>年底前</w:t>
            </w:r>
          </w:p>
        </w:tc>
        <w:tc>
          <w:tcPr>
            <w:tcW w:w="4002" w:type="dxa"/>
            <w:gridSpan w:val="3"/>
            <w:vMerge w:val="restart"/>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24" w:lineRule="exact"/>
              <w:ind w:left="0" w:leftChars="0" w:right="0" w:rightChars="0" w:firstLine="0" w:firstLineChars="0"/>
              <w:jc w:val="center"/>
              <w:rPr>
                <w:rFonts w:hint="eastAsia" w:ascii="仿宋" w:hAnsi="仿宋" w:eastAsia="仿宋" w:cs="仿宋"/>
                <w:color w:val="000000"/>
                <w:spacing w:val="0"/>
                <w:w w:val="100"/>
                <w:position w:val="0"/>
                <w:sz w:val="24"/>
                <w:szCs w:val="24"/>
                <w:highlight w:val="none"/>
                <w:lang w:eastAsia="zh-CN"/>
              </w:rPr>
            </w:pPr>
            <w:r>
              <w:rPr>
                <w:rFonts w:hint="eastAsia" w:ascii="仿宋" w:hAnsi="仿宋" w:eastAsia="仿宋" w:cs="仿宋"/>
                <w:color w:val="000000"/>
                <w:spacing w:val="0"/>
                <w:w w:val="100"/>
                <w:position w:val="0"/>
                <w:sz w:val="24"/>
                <w:szCs w:val="24"/>
                <w:highlight w:val="none"/>
                <w:lang w:eastAsia="zh-CN"/>
              </w:rPr>
              <w:t>富锦市人民政府牵头，佳木斯市富锦生态环境局，市</w:t>
            </w:r>
            <w:r>
              <w:rPr>
                <w:rFonts w:hint="eastAsia" w:ascii="仿宋" w:hAnsi="仿宋" w:eastAsia="仿宋" w:cs="仿宋"/>
                <w:color w:val="000000"/>
                <w:spacing w:val="0"/>
                <w:w w:val="100"/>
                <w:position w:val="0"/>
                <w:sz w:val="24"/>
                <w:szCs w:val="24"/>
                <w:highlight w:val="none"/>
              </w:rPr>
              <w:t>自然资源</w:t>
            </w:r>
            <w:r>
              <w:rPr>
                <w:rFonts w:hint="eastAsia" w:ascii="仿宋" w:hAnsi="仿宋" w:eastAsia="仿宋" w:cs="仿宋"/>
                <w:color w:val="000000"/>
                <w:spacing w:val="0"/>
                <w:w w:val="100"/>
                <w:position w:val="0"/>
                <w:sz w:val="24"/>
                <w:szCs w:val="24"/>
                <w:highlight w:val="none"/>
                <w:lang w:eastAsia="zh-CN"/>
              </w:rPr>
              <w:t>局</w:t>
            </w:r>
            <w:r>
              <w:rPr>
                <w:rFonts w:hint="eastAsia" w:ascii="仿宋" w:hAnsi="仿宋" w:eastAsia="仿宋" w:cs="仿宋"/>
                <w:color w:val="000000"/>
                <w:spacing w:val="0"/>
                <w:w w:val="100"/>
                <w:position w:val="0"/>
                <w:sz w:val="24"/>
                <w:szCs w:val="24"/>
                <w:highlight w:val="none"/>
              </w:rPr>
              <w:t>、</w:t>
            </w:r>
            <w:r>
              <w:rPr>
                <w:rFonts w:hint="eastAsia" w:ascii="仿宋" w:hAnsi="仿宋" w:eastAsia="仿宋" w:cs="仿宋"/>
                <w:color w:val="000000"/>
                <w:spacing w:val="0"/>
                <w:w w:val="100"/>
                <w:position w:val="0"/>
                <w:sz w:val="24"/>
                <w:szCs w:val="24"/>
                <w:highlight w:val="none"/>
                <w:lang w:eastAsia="zh-CN"/>
              </w:rPr>
              <w:t>市水务局等参与</w:t>
            </w:r>
          </w:p>
        </w:tc>
      </w:tr>
      <w:tr>
        <w:tblPrEx>
          <w:tblCellMar>
            <w:top w:w="0" w:type="dxa"/>
            <w:left w:w="10" w:type="dxa"/>
            <w:bottom w:w="0" w:type="dxa"/>
            <w:right w:w="10" w:type="dxa"/>
          </w:tblCellMar>
        </w:tblPrEx>
        <w:trPr>
          <w:trHeight w:val="627" w:hRule="exact"/>
          <w:jc w:val="center"/>
        </w:trPr>
        <w:tc>
          <w:tcPr>
            <w:tcW w:w="1320" w:type="dxa"/>
            <w:vMerge w:val="continue"/>
            <w:tcBorders>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324" w:lineRule="exact"/>
              <w:ind w:left="0" w:leftChars="0" w:right="0" w:rightChars="0" w:firstLine="0" w:firstLineChars="0"/>
              <w:jc w:val="center"/>
              <w:rPr>
                <w:rFonts w:hint="eastAsia" w:ascii="仿宋" w:hAnsi="仿宋" w:eastAsia="仿宋" w:cs="仿宋"/>
                <w:color w:val="000000"/>
                <w:spacing w:val="0"/>
                <w:w w:val="100"/>
                <w:position w:val="0"/>
                <w:sz w:val="24"/>
                <w:szCs w:val="24"/>
                <w:highlight w:val="none"/>
              </w:rPr>
            </w:pPr>
          </w:p>
        </w:tc>
        <w:tc>
          <w:tcPr>
            <w:tcW w:w="1662"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仿宋" w:hAnsi="仿宋" w:eastAsia="仿宋" w:cs="仿宋"/>
                <w:b/>
                <w:bCs/>
                <w:color w:val="000000"/>
                <w:spacing w:val="0"/>
                <w:w w:val="100"/>
                <w:position w:val="0"/>
                <w:sz w:val="24"/>
                <w:szCs w:val="24"/>
                <w:highlight w:val="none"/>
                <w:lang w:val="en-US" w:eastAsia="en-US" w:bidi="en-US"/>
              </w:rPr>
            </w:pPr>
          </w:p>
        </w:tc>
        <w:tc>
          <w:tcPr>
            <w:tcW w:w="7038"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both"/>
              <w:rPr>
                <w:rFonts w:hint="eastAsia" w:ascii="仿宋" w:hAnsi="仿宋" w:eastAsia="仿宋" w:cs="仿宋"/>
                <w:color w:val="000000"/>
                <w:spacing w:val="0"/>
                <w:w w:val="100"/>
                <w:position w:val="0"/>
                <w:sz w:val="24"/>
                <w:szCs w:val="24"/>
                <w:highlight w:val="none"/>
              </w:rPr>
            </w:pPr>
            <w:r>
              <w:rPr>
                <w:rFonts w:hint="eastAsia" w:ascii="仿宋" w:hAnsi="仿宋" w:eastAsia="仿宋" w:cs="仿宋"/>
                <w:color w:val="000000"/>
                <w:spacing w:val="0"/>
                <w:w w:val="100"/>
                <w:position w:val="0"/>
                <w:sz w:val="24"/>
                <w:szCs w:val="24"/>
                <w:highlight w:val="none"/>
              </w:rPr>
              <w:t>③</w:t>
            </w:r>
            <w:r>
              <w:rPr>
                <w:rFonts w:hint="eastAsia" w:ascii="仿宋" w:hAnsi="仿宋" w:eastAsia="仿宋" w:cs="仿宋"/>
                <w:color w:val="000000"/>
                <w:spacing w:val="0"/>
                <w:w w:val="100"/>
                <w:position w:val="0"/>
                <w:sz w:val="24"/>
                <w:szCs w:val="24"/>
                <w:highlight w:val="none"/>
                <w:lang w:eastAsia="zh-CN"/>
              </w:rPr>
              <w:t>配合省级部门</w:t>
            </w:r>
            <w:r>
              <w:rPr>
                <w:rFonts w:hint="eastAsia" w:ascii="仿宋" w:hAnsi="仿宋" w:eastAsia="仿宋" w:cs="仿宋"/>
                <w:color w:val="000000"/>
                <w:spacing w:val="0"/>
                <w:w w:val="100"/>
                <w:position w:val="0"/>
                <w:sz w:val="24"/>
                <w:szCs w:val="24"/>
                <w:highlight w:val="none"/>
              </w:rPr>
              <w:t>建立全</w:t>
            </w:r>
            <w:r>
              <w:rPr>
                <w:rFonts w:hint="eastAsia" w:ascii="仿宋" w:hAnsi="仿宋" w:eastAsia="仿宋" w:cs="仿宋"/>
                <w:color w:val="000000"/>
                <w:spacing w:val="0"/>
                <w:w w:val="100"/>
                <w:position w:val="0"/>
                <w:sz w:val="24"/>
                <w:szCs w:val="24"/>
                <w:highlight w:val="none"/>
                <w:lang w:eastAsia="zh-CN"/>
              </w:rPr>
              <w:t>市</w:t>
            </w:r>
            <w:r>
              <w:rPr>
                <w:rFonts w:hint="eastAsia" w:ascii="仿宋" w:hAnsi="仿宋" w:eastAsia="仿宋" w:cs="仿宋"/>
                <w:color w:val="000000"/>
                <w:spacing w:val="0"/>
                <w:w w:val="100"/>
                <w:position w:val="0"/>
                <w:sz w:val="24"/>
                <w:szCs w:val="24"/>
                <w:highlight w:val="none"/>
              </w:rPr>
              <w:t>地下水环境监测网，开展地下水环境监测。</w:t>
            </w:r>
          </w:p>
        </w:tc>
        <w:tc>
          <w:tcPr>
            <w:tcW w:w="1392"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80" w:line="240" w:lineRule="auto"/>
              <w:ind w:left="0" w:leftChars="0" w:right="0" w:rightChars="0" w:firstLine="0" w:firstLineChars="0"/>
              <w:jc w:val="center"/>
              <w:rPr>
                <w:rFonts w:hint="eastAsia" w:ascii="仿宋" w:hAnsi="仿宋" w:eastAsia="仿宋" w:cs="仿宋"/>
                <w:color w:val="000000"/>
                <w:spacing w:val="0"/>
                <w:w w:val="100"/>
                <w:position w:val="0"/>
                <w:sz w:val="24"/>
                <w:szCs w:val="24"/>
                <w:highlight w:val="none"/>
              </w:rPr>
            </w:pPr>
            <w:r>
              <w:rPr>
                <w:rFonts w:hint="eastAsia" w:ascii="仿宋" w:hAnsi="仿宋" w:eastAsia="仿宋" w:cs="仿宋"/>
                <w:color w:val="000000"/>
                <w:spacing w:val="0"/>
                <w:w w:val="100"/>
                <w:position w:val="0"/>
                <w:sz w:val="24"/>
                <w:szCs w:val="24"/>
                <w:highlight w:val="none"/>
              </w:rPr>
              <w:t>2025年底前</w:t>
            </w:r>
          </w:p>
        </w:tc>
        <w:tc>
          <w:tcPr>
            <w:tcW w:w="4002" w:type="dxa"/>
            <w:gridSpan w:val="3"/>
            <w:vMerge w:val="continue"/>
            <w:tcBorders>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24" w:lineRule="exact"/>
              <w:ind w:left="0" w:leftChars="0" w:right="0" w:rightChars="0" w:firstLine="0" w:firstLineChars="0"/>
              <w:jc w:val="center"/>
              <w:rPr>
                <w:rFonts w:hint="eastAsia" w:ascii="仿宋" w:hAnsi="仿宋" w:eastAsia="仿宋" w:cs="仿宋"/>
                <w:color w:val="000000"/>
                <w:spacing w:val="0"/>
                <w:w w:val="100"/>
                <w:position w:val="0"/>
                <w:sz w:val="24"/>
                <w:szCs w:val="24"/>
                <w:highlight w:val="none"/>
                <w:lang w:eastAsia="zh-CN"/>
              </w:rPr>
            </w:pPr>
          </w:p>
        </w:tc>
      </w:tr>
      <w:tr>
        <w:tblPrEx>
          <w:tblCellMar>
            <w:top w:w="0" w:type="dxa"/>
            <w:left w:w="10" w:type="dxa"/>
            <w:bottom w:w="0" w:type="dxa"/>
            <w:right w:w="10" w:type="dxa"/>
          </w:tblCellMar>
        </w:tblPrEx>
        <w:trPr>
          <w:trHeight w:val="1062" w:hRule="exact"/>
          <w:jc w:val="center"/>
        </w:trPr>
        <w:tc>
          <w:tcPr>
            <w:tcW w:w="1320"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324" w:lineRule="exact"/>
              <w:ind w:left="0" w:leftChars="0" w:right="0" w:rightChars="0" w:firstLine="0" w:firstLineChars="0"/>
              <w:jc w:val="center"/>
              <w:rPr>
                <w:rFonts w:hint="eastAsia" w:ascii="仿宋" w:hAnsi="仿宋" w:eastAsia="仿宋" w:cs="仿宋"/>
                <w:kern w:val="2"/>
                <w:sz w:val="24"/>
                <w:szCs w:val="24"/>
                <w:highlight w:val="none"/>
                <w:u w:val="none"/>
                <w:shd w:val="clear" w:color="auto" w:fill="auto"/>
                <w:lang w:val="zh-TW" w:eastAsia="zh-TW" w:bidi="zh-TW"/>
              </w:rPr>
            </w:pPr>
            <w:r>
              <w:rPr>
                <w:rFonts w:hint="eastAsia" w:ascii="仿宋" w:hAnsi="仿宋" w:eastAsia="仿宋" w:cs="仿宋"/>
                <w:color w:val="000000"/>
                <w:spacing w:val="0"/>
                <w:w w:val="100"/>
                <w:position w:val="0"/>
                <w:sz w:val="24"/>
                <w:szCs w:val="24"/>
                <w:highlight w:val="none"/>
              </w:rPr>
              <w:t>（三）建立地下水环境监测体系</w:t>
            </w:r>
          </w:p>
        </w:tc>
        <w:tc>
          <w:tcPr>
            <w:tcW w:w="16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36" w:lineRule="exact"/>
              <w:ind w:left="0" w:leftChars="0" w:right="0" w:rightChars="0" w:firstLine="0" w:firstLineChars="0"/>
              <w:jc w:val="center"/>
              <w:rPr>
                <w:rFonts w:hint="eastAsia" w:ascii="仿宋" w:hAnsi="仿宋" w:eastAsia="仿宋" w:cs="仿宋"/>
                <w:b/>
                <w:bCs/>
                <w:color w:val="000000"/>
                <w:spacing w:val="0"/>
                <w:w w:val="100"/>
                <w:position w:val="0"/>
                <w:sz w:val="24"/>
                <w:szCs w:val="24"/>
                <w:highlight w:val="none"/>
                <w:lang w:val="en-US" w:eastAsia="en-US" w:bidi="en-US"/>
              </w:rPr>
            </w:pPr>
            <w:r>
              <w:rPr>
                <w:rFonts w:hint="eastAsia" w:ascii="仿宋" w:hAnsi="仿宋" w:eastAsia="仿宋" w:cs="仿宋"/>
                <w:b/>
                <w:bCs/>
                <w:color w:val="000000"/>
                <w:spacing w:val="0"/>
                <w:w w:val="100"/>
                <w:position w:val="0"/>
                <w:sz w:val="24"/>
                <w:szCs w:val="24"/>
                <w:highlight w:val="none"/>
                <w:lang w:val="en-US" w:eastAsia="zh-CN"/>
              </w:rPr>
              <w:t>4</w:t>
            </w:r>
            <w:r>
              <w:rPr>
                <w:rFonts w:hint="eastAsia" w:ascii="仿宋" w:hAnsi="仿宋" w:eastAsia="仿宋" w:cs="仿宋"/>
                <w:b/>
                <w:bCs/>
                <w:color w:val="000000"/>
                <w:spacing w:val="0"/>
                <w:w w:val="100"/>
                <w:position w:val="0"/>
                <w:sz w:val="24"/>
                <w:szCs w:val="24"/>
                <w:highlight w:val="none"/>
                <w:lang w:eastAsia="zh-CN"/>
              </w:rPr>
              <w:t>.</w:t>
            </w:r>
            <w:r>
              <w:rPr>
                <w:rFonts w:hint="eastAsia" w:ascii="仿宋" w:hAnsi="仿宋" w:eastAsia="仿宋" w:cs="仿宋"/>
                <w:b/>
                <w:bCs/>
                <w:color w:val="000000"/>
                <w:spacing w:val="0"/>
                <w:w w:val="100"/>
                <w:position w:val="0"/>
                <w:sz w:val="24"/>
                <w:szCs w:val="24"/>
                <w:highlight w:val="none"/>
              </w:rPr>
              <w:t>强化地下水 环境监测技术 力量</w:t>
            </w:r>
          </w:p>
        </w:tc>
        <w:tc>
          <w:tcPr>
            <w:tcW w:w="7038"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324" w:lineRule="exact"/>
              <w:ind w:left="0" w:leftChars="0" w:right="0" w:rightChars="0" w:firstLine="0" w:firstLineChars="0"/>
              <w:jc w:val="both"/>
              <w:rPr>
                <w:rFonts w:hint="eastAsia" w:ascii="仿宋" w:hAnsi="仿宋" w:eastAsia="仿宋" w:cs="仿宋"/>
                <w:color w:val="000000"/>
                <w:spacing w:val="0"/>
                <w:w w:val="100"/>
                <w:position w:val="0"/>
                <w:sz w:val="24"/>
                <w:szCs w:val="24"/>
                <w:highlight w:val="none"/>
              </w:rPr>
            </w:pPr>
            <w:r>
              <w:rPr>
                <w:rFonts w:hint="eastAsia" w:ascii="仿宋" w:hAnsi="仿宋" w:eastAsia="仿宋" w:cs="仿宋"/>
                <w:color w:val="000000"/>
                <w:spacing w:val="0"/>
                <w:w w:val="100"/>
                <w:position w:val="0"/>
                <w:sz w:val="24"/>
                <w:szCs w:val="24"/>
                <w:highlight w:val="none"/>
              </w:rPr>
              <w:t>依据国家《地下水环境监测技术规范》及标准化建设要求，加强地下水监测设备配置，强化监测技术</w:t>
            </w:r>
            <w:r>
              <w:rPr>
                <w:rFonts w:hint="eastAsia" w:ascii="仿宋" w:hAnsi="仿宋" w:eastAsia="仿宋" w:cs="仿宋"/>
                <w:color w:val="000000"/>
                <w:spacing w:val="0"/>
                <w:w w:val="100"/>
                <w:position w:val="0"/>
                <w:sz w:val="24"/>
                <w:szCs w:val="24"/>
                <w:highlight w:val="none"/>
                <w:lang w:eastAsia="zh-CN"/>
              </w:rPr>
              <w:t>人员培训</w:t>
            </w:r>
            <w:r>
              <w:rPr>
                <w:rFonts w:hint="eastAsia" w:ascii="仿宋" w:hAnsi="仿宋" w:eastAsia="仿宋" w:cs="仿宋"/>
                <w:color w:val="000000"/>
                <w:spacing w:val="0"/>
                <w:w w:val="100"/>
                <w:position w:val="0"/>
                <w:sz w:val="24"/>
                <w:szCs w:val="24"/>
                <w:highlight w:val="none"/>
              </w:rPr>
              <w:t>，提升监测能力。</w:t>
            </w:r>
          </w:p>
        </w:tc>
        <w:tc>
          <w:tcPr>
            <w:tcW w:w="1392"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highlight w:val="none"/>
              </w:rPr>
            </w:pPr>
            <w:r>
              <w:rPr>
                <w:rFonts w:hint="eastAsia" w:ascii="仿宋" w:hAnsi="仿宋" w:eastAsia="仿宋" w:cs="仿宋"/>
                <w:color w:val="000000"/>
                <w:spacing w:val="0"/>
                <w:w w:val="100"/>
                <w:position w:val="0"/>
                <w:sz w:val="24"/>
                <w:szCs w:val="24"/>
                <w:highlight w:val="none"/>
              </w:rPr>
              <w:t>持续推进</w:t>
            </w:r>
          </w:p>
        </w:tc>
        <w:tc>
          <w:tcPr>
            <w:tcW w:w="400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36" w:lineRule="exact"/>
              <w:ind w:left="0" w:leftChars="0" w:right="0" w:rightChars="0" w:firstLine="0" w:firstLineChars="0"/>
              <w:jc w:val="both"/>
              <w:rPr>
                <w:rFonts w:hint="eastAsia" w:ascii="仿宋" w:hAnsi="仿宋" w:eastAsia="仿宋" w:cs="仿宋"/>
                <w:color w:val="000000"/>
                <w:spacing w:val="0"/>
                <w:w w:val="100"/>
                <w:position w:val="0"/>
                <w:sz w:val="24"/>
                <w:szCs w:val="24"/>
                <w:highlight w:val="none"/>
                <w:lang w:eastAsia="zh-CN"/>
              </w:rPr>
            </w:pPr>
            <w:r>
              <w:rPr>
                <w:rFonts w:hint="eastAsia" w:ascii="仿宋" w:hAnsi="仿宋" w:eastAsia="仿宋" w:cs="仿宋"/>
                <w:color w:val="000000"/>
                <w:spacing w:val="0"/>
                <w:w w:val="100"/>
                <w:position w:val="0"/>
                <w:sz w:val="24"/>
                <w:szCs w:val="24"/>
                <w:highlight w:val="none"/>
                <w:lang w:eastAsia="zh-CN"/>
              </w:rPr>
              <w:t>佳木斯市富锦生态环境局</w:t>
            </w:r>
            <w:r>
              <w:rPr>
                <w:rFonts w:hint="eastAsia" w:ascii="仿宋" w:hAnsi="仿宋" w:eastAsia="仿宋" w:cs="仿宋"/>
                <w:color w:val="000000"/>
                <w:spacing w:val="0"/>
                <w:w w:val="100"/>
                <w:position w:val="0"/>
                <w:sz w:val="24"/>
                <w:szCs w:val="24"/>
                <w:highlight w:val="none"/>
              </w:rPr>
              <w:t>、</w:t>
            </w:r>
            <w:r>
              <w:rPr>
                <w:rFonts w:hint="eastAsia" w:ascii="仿宋" w:hAnsi="仿宋" w:eastAsia="仿宋" w:cs="仿宋"/>
                <w:color w:val="000000"/>
                <w:spacing w:val="0"/>
                <w:w w:val="100"/>
                <w:position w:val="0"/>
                <w:sz w:val="24"/>
                <w:szCs w:val="24"/>
                <w:highlight w:val="none"/>
                <w:lang w:eastAsia="zh-CN"/>
              </w:rPr>
              <w:t>市</w:t>
            </w:r>
            <w:r>
              <w:rPr>
                <w:rFonts w:hint="eastAsia" w:ascii="仿宋" w:hAnsi="仿宋" w:eastAsia="仿宋" w:cs="仿宋"/>
                <w:color w:val="000000"/>
                <w:spacing w:val="0"/>
                <w:w w:val="100"/>
                <w:position w:val="0"/>
                <w:sz w:val="24"/>
                <w:szCs w:val="24"/>
                <w:highlight w:val="none"/>
              </w:rPr>
              <w:t>自然资源</w:t>
            </w:r>
            <w:r>
              <w:rPr>
                <w:rFonts w:hint="eastAsia" w:ascii="仿宋" w:hAnsi="仿宋" w:eastAsia="仿宋" w:cs="仿宋"/>
                <w:color w:val="000000"/>
                <w:spacing w:val="0"/>
                <w:w w:val="100"/>
                <w:position w:val="0"/>
                <w:sz w:val="24"/>
                <w:szCs w:val="24"/>
                <w:highlight w:val="none"/>
                <w:lang w:eastAsia="zh-CN"/>
              </w:rPr>
              <w:t>局</w:t>
            </w:r>
            <w:r>
              <w:rPr>
                <w:rFonts w:hint="eastAsia" w:ascii="仿宋" w:hAnsi="仿宋" w:eastAsia="仿宋" w:cs="仿宋"/>
                <w:color w:val="000000"/>
                <w:spacing w:val="0"/>
                <w:w w:val="100"/>
                <w:position w:val="0"/>
                <w:sz w:val="24"/>
                <w:szCs w:val="24"/>
                <w:highlight w:val="none"/>
              </w:rPr>
              <w:t>、</w:t>
            </w:r>
            <w:r>
              <w:rPr>
                <w:rFonts w:hint="eastAsia" w:ascii="仿宋" w:hAnsi="仿宋" w:eastAsia="仿宋" w:cs="仿宋"/>
                <w:color w:val="000000"/>
                <w:spacing w:val="0"/>
                <w:w w:val="100"/>
                <w:position w:val="0"/>
                <w:sz w:val="24"/>
                <w:szCs w:val="24"/>
                <w:highlight w:val="none"/>
                <w:lang w:eastAsia="zh-CN"/>
              </w:rPr>
              <w:t>市水务局等</w:t>
            </w:r>
          </w:p>
        </w:tc>
      </w:tr>
      <w:tr>
        <w:tblPrEx>
          <w:tblCellMar>
            <w:top w:w="0" w:type="dxa"/>
            <w:left w:w="10" w:type="dxa"/>
            <w:bottom w:w="0" w:type="dxa"/>
            <w:right w:w="10" w:type="dxa"/>
          </w:tblCellMar>
        </w:tblPrEx>
        <w:trPr>
          <w:trHeight w:val="712" w:hRule="exact"/>
          <w:jc w:val="center"/>
        </w:trPr>
        <w:tc>
          <w:tcPr>
            <w:tcW w:w="1320" w:type="dxa"/>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24" w:lineRule="exact"/>
              <w:ind w:left="0" w:leftChars="0" w:right="0" w:rightChars="0" w:firstLine="0" w:firstLineChars="0"/>
              <w:jc w:val="center"/>
              <w:rPr>
                <w:rFonts w:hint="eastAsia" w:ascii="仿宋" w:hAnsi="仿宋" w:eastAsia="仿宋" w:cs="仿宋"/>
                <w:color w:val="000000"/>
                <w:spacing w:val="0"/>
                <w:w w:val="100"/>
                <w:position w:val="0"/>
                <w:sz w:val="24"/>
                <w:szCs w:val="24"/>
                <w:highlight w:val="none"/>
              </w:rPr>
            </w:pPr>
            <w:r>
              <w:rPr>
                <w:rFonts w:hint="eastAsia" w:ascii="仿宋" w:hAnsi="仿宋" w:eastAsia="仿宋" w:cs="仿宋"/>
                <w:color w:val="000000"/>
                <w:spacing w:val="0"/>
                <w:w w:val="100"/>
                <w:position w:val="0"/>
                <w:sz w:val="24"/>
                <w:szCs w:val="24"/>
              </w:rPr>
              <w:t>（四）加强地下水污染与地表水、土壤等共生环境协同防治</w:t>
            </w:r>
          </w:p>
        </w:tc>
        <w:tc>
          <w:tcPr>
            <w:tcW w:w="166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24" w:lineRule="exact"/>
              <w:ind w:left="0" w:right="0" w:firstLine="0"/>
              <w:jc w:val="center"/>
              <w:rPr>
                <w:rFonts w:hint="eastAsia" w:ascii="仿宋" w:hAnsi="仿宋" w:eastAsia="仿宋" w:cs="仿宋"/>
                <w:sz w:val="24"/>
                <w:szCs w:val="24"/>
              </w:rPr>
            </w:pPr>
            <w:r>
              <w:rPr>
                <w:rFonts w:hint="eastAsia" w:ascii="仿宋" w:hAnsi="仿宋" w:eastAsia="仿宋" w:cs="仿宋"/>
                <w:b/>
                <w:bCs/>
                <w:color w:val="000000"/>
                <w:spacing w:val="0"/>
                <w:w w:val="100"/>
                <w:position w:val="0"/>
                <w:sz w:val="24"/>
                <w:szCs w:val="24"/>
                <w:lang w:val="en-US" w:eastAsia="zh-CN"/>
              </w:rPr>
              <w:t>5</w:t>
            </w:r>
            <w:r>
              <w:rPr>
                <w:rFonts w:hint="eastAsia" w:ascii="仿宋" w:hAnsi="仿宋" w:eastAsia="仿宋" w:cs="仿宋"/>
                <w:b/>
                <w:bCs/>
                <w:color w:val="000000"/>
                <w:spacing w:val="0"/>
                <w:w w:val="100"/>
                <w:position w:val="0"/>
                <w:sz w:val="24"/>
                <w:szCs w:val="24"/>
              </w:rPr>
              <w:t>.重视地表 水、地下水污</w:t>
            </w:r>
          </w:p>
          <w:p>
            <w:pPr>
              <w:pStyle w:val="6"/>
              <w:keepNext w:val="0"/>
              <w:keepLines w:val="0"/>
              <w:widowControl w:val="0"/>
              <w:shd w:val="clear" w:color="auto" w:fill="auto"/>
              <w:bidi w:val="0"/>
              <w:spacing w:before="0" w:after="0" w:line="324" w:lineRule="exact"/>
              <w:ind w:left="0" w:leftChars="0" w:right="0" w:rightChars="0" w:firstLine="0" w:firstLineChars="0"/>
              <w:jc w:val="center"/>
              <w:rPr>
                <w:rFonts w:hint="eastAsia" w:ascii="仿宋" w:hAnsi="仿宋" w:eastAsia="仿宋" w:cs="仿宋"/>
                <w:b/>
                <w:bCs/>
                <w:color w:val="000000"/>
                <w:spacing w:val="0"/>
                <w:w w:val="100"/>
                <w:position w:val="0"/>
                <w:sz w:val="24"/>
                <w:szCs w:val="24"/>
                <w:highlight w:val="none"/>
              </w:rPr>
            </w:pPr>
            <w:r>
              <w:rPr>
                <w:rFonts w:hint="eastAsia" w:ascii="仿宋" w:hAnsi="仿宋" w:eastAsia="仿宋" w:cs="仿宋"/>
                <w:b/>
                <w:bCs/>
                <w:color w:val="000000"/>
                <w:spacing w:val="0"/>
                <w:w w:val="100"/>
                <w:position w:val="0"/>
                <w:sz w:val="24"/>
                <w:szCs w:val="24"/>
              </w:rPr>
              <w:t>染协同防治</w:t>
            </w:r>
          </w:p>
        </w:tc>
        <w:tc>
          <w:tcPr>
            <w:tcW w:w="7038"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both"/>
              <w:rPr>
                <w:rFonts w:hint="eastAsia" w:ascii="仿宋" w:hAnsi="仿宋" w:eastAsia="仿宋" w:cs="仿宋"/>
                <w:color w:val="000000"/>
                <w:spacing w:val="0"/>
                <w:w w:val="100"/>
                <w:position w:val="0"/>
                <w:sz w:val="24"/>
                <w:szCs w:val="24"/>
                <w:highlight w:val="none"/>
              </w:rPr>
            </w:pPr>
            <w:r>
              <w:rPr>
                <w:rFonts w:hint="eastAsia" w:ascii="仿宋" w:hAnsi="仿宋" w:eastAsia="仿宋" w:cs="仿宋"/>
                <w:color w:val="000000"/>
                <w:spacing w:val="0"/>
                <w:w w:val="100"/>
                <w:position w:val="0"/>
                <w:sz w:val="24"/>
                <w:szCs w:val="24"/>
              </w:rPr>
              <w:t>①加快城镇污水管网更新改造，完善管网收集系统，减少管网渗漏。</w:t>
            </w:r>
          </w:p>
        </w:tc>
        <w:tc>
          <w:tcPr>
            <w:tcW w:w="1392"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highlight w:val="none"/>
              </w:rPr>
            </w:pPr>
            <w:r>
              <w:rPr>
                <w:rFonts w:hint="eastAsia" w:ascii="仿宋" w:hAnsi="仿宋" w:eastAsia="仿宋" w:cs="仿宋"/>
                <w:color w:val="000000"/>
                <w:spacing w:val="0"/>
                <w:w w:val="100"/>
                <w:position w:val="0"/>
                <w:sz w:val="24"/>
                <w:szCs w:val="24"/>
              </w:rPr>
              <w:t>持续推进</w:t>
            </w:r>
          </w:p>
        </w:tc>
        <w:tc>
          <w:tcPr>
            <w:tcW w:w="17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24" w:lineRule="exact"/>
              <w:ind w:left="0" w:leftChars="0" w:right="0" w:rightChars="0" w:firstLine="0" w:firstLineChars="0"/>
              <w:jc w:val="center"/>
              <w:rPr>
                <w:rFonts w:hint="eastAsia" w:ascii="仿宋" w:hAnsi="仿宋" w:eastAsia="仿宋" w:cs="仿宋"/>
                <w:color w:val="000000"/>
                <w:spacing w:val="0"/>
                <w:w w:val="100"/>
                <w:position w:val="0"/>
                <w:sz w:val="24"/>
                <w:szCs w:val="24"/>
                <w:highlight w:val="none"/>
                <w:lang w:eastAsia="zh-CN"/>
              </w:rPr>
            </w:pPr>
            <w:r>
              <w:rPr>
                <w:rFonts w:hint="eastAsia" w:ascii="仿宋" w:hAnsi="仿宋" w:eastAsia="仿宋" w:cs="仿宋"/>
                <w:color w:val="000000"/>
                <w:spacing w:val="0"/>
                <w:w w:val="100"/>
                <w:position w:val="0"/>
                <w:sz w:val="24"/>
                <w:szCs w:val="24"/>
                <w:highlight w:val="none"/>
                <w:lang w:eastAsia="zh-CN"/>
              </w:rPr>
              <w:t>富锦市人民政府</w:t>
            </w:r>
          </w:p>
        </w:tc>
        <w:tc>
          <w:tcPr>
            <w:tcW w:w="229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24" w:lineRule="exact"/>
              <w:ind w:left="0" w:right="0" w:firstLine="0"/>
              <w:jc w:val="center"/>
              <w:rPr>
                <w:rFonts w:hint="eastAsia" w:ascii="仿宋" w:hAnsi="仿宋" w:eastAsia="仿宋" w:cs="仿宋"/>
                <w:color w:val="000000"/>
                <w:spacing w:val="0"/>
                <w:w w:val="100"/>
                <w:position w:val="0"/>
                <w:sz w:val="24"/>
                <w:szCs w:val="24"/>
              </w:rPr>
            </w:pPr>
            <w:r>
              <w:rPr>
                <w:rFonts w:hint="eastAsia" w:ascii="仿宋" w:hAnsi="仿宋" w:eastAsia="仿宋" w:cs="仿宋"/>
                <w:color w:val="000000"/>
                <w:spacing w:val="0"/>
                <w:w w:val="100"/>
                <w:position w:val="0"/>
                <w:sz w:val="24"/>
                <w:szCs w:val="24"/>
                <w:lang w:eastAsia="zh-CN"/>
              </w:rPr>
              <w:t>市</w:t>
            </w:r>
            <w:r>
              <w:rPr>
                <w:rFonts w:hint="eastAsia" w:ascii="仿宋" w:hAnsi="仿宋" w:eastAsia="仿宋" w:cs="仿宋"/>
                <w:color w:val="000000"/>
                <w:spacing w:val="0"/>
                <w:w w:val="100"/>
                <w:position w:val="0"/>
                <w:sz w:val="24"/>
                <w:szCs w:val="24"/>
              </w:rPr>
              <w:t>住房和城乡</w:t>
            </w:r>
          </w:p>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highlight w:val="none"/>
                <w:lang w:eastAsia="zh-CN"/>
              </w:rPr>
            </w:pPr>
            <w:r>
              <w:rPr>
                <w:rFonts w:hint="eastAsia" w:ascii="仿宋" w:hAnsi="仿宋" w:eastAsia="仿宋" w:cs="仿宋"/>
                <w:color w:val="000000"/>
                <w:spacing w:val="0"/>
                <w:w w:val="100"/>
                <w:position w:val="0"/>
                <w:sz w:val="24"/>
                <w:szCs w:val="24"/>
                <w:lang w:eastAsia="zh-CN"/>
              </w:rPr>
              <w:t>建设局</w:t>
            </w:r>
          </w:p>
        </w:tc>
      </w:tr>
      <w:tr>
        <w:tblPrEx>
          <w:tblCellMar>
            <w:top w:w="0" w:type="dxa"/>
            <w:left w:w="10" w:type="dxa"/>
            <w:bottom w:w="0" w:type="dxa"/>
            <w:right w:w="10" w:type="dxa"/>
          </w:tblCellMar>
        </w:tblPrEx>
        <w:trPr>
          <w:trHeight w:val="982" w:hRule="exact"/>
          <w:jc w:val="center"/>
        </w:trPr>
        <w:tc>
          <w:tcPr>
            <w:tcW w:w="1320" w:type="dxa"/>
            <w:vMerge w:val="continue"/>
            <w:tcBorders>
              <w:left w:val="single" w:color="auto" w:sz="4" w:space="0"/>
            </w:tcBorders>
            <w:shd w:val="clear" w:color="auto" w:fill="FFFFFF"/>
            <w:vAlign w:val="center"/>
          </w:tcPr>
          <w:p>
            <w:pPr>
              <w:rPr>
                <w:rFonts w:hint="eastAsia" w:ascii="仿宋" w:hAnsi="仿宋" w:eastAsia="仿宋" w:cs="仿宋"/>
                <w:color w:val="000000"/>
                <w:spacing w:val="0"/>
                <w:w w:val="100"/>
                <w:position w:val="0"/>
                <w:sz w:val="24"/>
                <w:szCs w:val="24"/>
                <w:highlight w:val="none"/>
              </w:rPr>
            </w:pPr>
          </w:p>
        </w:tc>
        <w:tc>
          <w:tcPr>
            <w:tcW w:w="166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仿宋" w:hAnsi="仿宋" w:eastAsia="仿宋" w:cs="仿宋"/>
                <w:b/>
                <w:bCs/>
                <w:color w:val="000000"/>
                <w:spacing w:val="0"/>
                <w:w w:val="100"/>
                <w:position w:val="0"/>
                <w:sz w:val="24"/>
                <w:szCs w:val="24"/>
                <w:highlight w:val="none"/>
              </w:rPr>
            </w:pPr>
          </w:p>
        </w:tc>
        <w:tc>
          <w:tcPr>
            <w:tcW w:w="7038"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324" w:lineRule="exact"/>
              <w:ind w:left="0" w:leftChars="0" w:right="0" w:rightChars="0" w:firstLine="0" w:firstLineChars="0"/>
              <w:jc w:val="both"/>
              <w:rPr>
                <w:rFonts w:hint="eastAsia" w:ascii="仿宋" w:hAnsi="仿宋" w:eastAsia="仿宋" w:cs="仿宋"/>
                <w:color w:val="000000"/>
                <w:spacing w:val="0"/>
                <w:w w:val="100"/>
                <w:position w:val="0"/>
                <w:sz w:val="24"/>
                <w:szCs w:val="24"/>
                <w:highlight w:val="none"/>
              </w:rPr>
            </w:pPr>
            <w:r>
              <w:rPr>
                <w:rFonts w:hint="eastAsia" w:ascii="仿宋" w:hAnsi="仿宋" w:eastAsia="仿宋" w:cs="仿宋"/>
                <w:color w:val="000000"/>
                <w:spacing w:val="0"/>
                <w:w w:val="100"/>
                <w:position w:val="0"/>
                <w:sz w:val="24"/>
                <w:szCs w:val="24"/>
              </w:rPr>
              <w:t>②</w:t>
            </w:r>
            <w:r>
              <w:rPr>
                <w:rFonts w:hint="eastAsia" w:ascii="仿宋" w:hAnsi="仿宋" w:eastAsia="仿宋" w:cs="仿宋"/>
                <w:color w:val="000000"/>
                <w:spacing w:val="0"/>
                <w:w w:val="100"/>
                <w:position w:val="0"/>
                <w:sz w:val="24"/>
                <w:szCs w:val="24"/>
                <w:lang w:eastAsia="zh-CN"/>
              </w:rPr>
              <w:t>市</w:t>
            </w:r>
            <w:r>
              <w:rPr>
                <w:rFonts w:hint="eastAsia" w:ascii="仿宋" w:hAnsi="仿宋" w:eastAsia="仿宋" w:cs="仿宋"/>
                <w:color w:val="000000"/>
                <w:spacing w:val="0"/>
                <w:w w:val="100"/>
                <w:position w:val="0"/>
                <w:sz w:val="24"/>
                <w:szCs w:val="24"/>
              </w:rPr>
              <w:t>政府统筹规划农业灌溉取水水源；降低农业面源污染对地下水水质影响，积极推广测土配方施肥技术，发展生态循环农业。</w:t>
            </w:r>
          </w:p>
        </w:tc>
        <w:tc>
          <w:tcPr>
            <w:tcW w:w="1392"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highlight w:val="none"/>
              </w:rPr>
            </w:pPr>
            <w:r>
              <w:rPr>
                <w:rFonts w:hint="eastAsia" w:ascii="仿宋" w:hAnsi="仿宋" w:eastAsia="仿宋" w:cs="仿宋"/>
                <w:color w:val="000000"/>
                <w:spacing w:val="0"/>
                <w:w w:val="100"/>
                <w:position w:val="0"/>
                <w:sz w:val="24"/>
                <w:szCs w:val="24"/>
              </w:rPr>
              <w:t>持续推进</w:t>
            </w:r>
          </w:p>
        </w:tc>
        <w:tc>
          <w:tcPr>
            <w:tcW w:w="17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36" w:lineRule="exact"/>
              <w:ind w:left="0" w:leftChars="0" w:right="0" w:rightChars="0" w:firstLine="0" w:firstLineChars="0"/>
              <w:jc w:val="center"/>
              <w:rPr>
                <w:rFonts w:hint="eastAsia" w:ascii="仿宋" w:hAnsi="仿宋" w:eastAsia="仿宋" w:cs="仿宋"/>
                <w:color w:val="000000"/>
                <w:spacing w:val="0"/>
                <w:w w:val="100"/>
                <w:position w:val="0"/>
                <w:sz w:val="24"/>
                <w:szCs w:val="24"/>
                <w:highlight w:val="none"/>
                <w:lang w:eastAsia="zh-CN"/>
              </w:rPr>
            </w:pPr>
            <w:r>
              <w:rPr>
                <w:rFonts w:hint="eastAsia" w:ascii="仿宋" w:hAnsi="仿宋" w:eastAsia="仿宋" w:cs="仿宋"/>
                <w:color w:val="000000"/>
                <w:spacing w:val="0"/>
                <w:w w:val="100"/>
                <w:position w:val="0"/>
                <w:sz w:val="24"/>
                <w:szCs w:val="24"/>
                <w:highlight w:val="none"/>
                <w:lang w:eastAsia="zh-CN"/>
              </w:rPr>
              <w:t>富锦市人民政府</w:t>
            </w:r>
          </w:p>
        </w:tc>
        <w:tc>
          <w:tcPr>
            <w:tcW w:w="229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36" w:lineRule="exact"/>
              <w:ind w:left="0" w:leftChars="0" w:right="0" w:rightChars="0" w:firstLine="0" w:firstLineChars="0"/>
              <w:jc w:val="center"/>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lang w:eastAsia="zh-CN"/>
              </w:rPr>
              <w:t>市</w:t>
            </w:r>
            <w:r>
              <w:rPr>
                <w:rFonts w:hint="eastAsia" w:ascii="仿宋" w:hAnsi="仿宋" w:eastAsia="仿宋" w:cs="仿宋"/>
                <w:color w:val="000000"/>
                <w:spacing w:val="0"/>
                <w:w w:val="100"/>
                <w:position w:val="0"/>
                <w:sz w:val="24"/>
                <w:szCs w:val="24"/>
              </w:rPr>
              <w:t>农业农村</w:t>
            </w:r>
            <w:r>
              <w:rPr>
                <w:rFonts w:hint="eastAsia" w:ascii="仿宋" w:hAnsi="仿宋" w:eastAsia="仿宋" w:cs="仿宋"/>
                <w:color w:val="000000"/>
                <w:spacing w:val="0"/>
                <w:w w:val="100"/>
                <w:position w:val="0"/>
                <w:sz w:val="24"/>
                <w:szCs w:val="24"/>
                <w:lang w:eastAsia="zh-CN"/>
              </w:rPr>
              <w:t>局，</w:t>
            </w:r>
            <w:r>
              <w:rPr>
                <w:rFonts w:hint="eastAsia" w:ascii="仿宋" w:hAnsi="仿宋" w:eastAsia="仿宋" w:cs="仿宋"/>
                <w:color w:val="000000"/>
                <w:spacing w:val="0"/>
                <w:w w:val="100"/>
                <w:position w:val="0"/>
                <w:sz w:val="24"/>
                <w:szCs w:val="24"/>
                <w:highlight w:val="none"/>
                <w:lang w:eastAsia="zh-CN"/>
              </w:rPr>
              <w:t>佳木斯市富锦生态环境局等</w:t>
            </w:r>
          </w:p>
        </w:tc>
      </w:tr>
      <w:tr>
        <w:tblPrEx>
          <w:tblCellMar>
            <w:top w:w="0" w:type="dxa"/>
            <w:left w:w="10" w:type="dxa"/>
            <w:bottom w:w="0" w:type="dxa"/>
            <w:right w:w="10" w:type="dxa"/>
          </w:tblCellMar>
        </w:tblPrEx>
        <w:trPr>
          <w:trHeight w:val="2232" w:hRule="exact"/>
          <w:jc w:val="center"/>
        </w:trPr>
        <w:tc>
          <w:tcPr>
            <w:tcW w:w="1320" w:type="dxa"/>
            <w:vMerge w:val="continue"/>
            <w:tcBorders>
              <w:left w:val="single" w:color="auto" w:sz="4" w:space="0"/>
              <w:bottom w:val="single" w:color="auto" w:sz="4" w:space="0"/>
              <w:right w:val="single" w:color="auto" w:sz="4" w:space="0"/>
            </w:tcBorders>
            <w:shd w:val="clear" w:color="auto" w:fill="FFFFFF"/>
            <w:vAlign w:val="center"/>
          </w:tcPr>
          <w:p>
            <w:pPr>
              <w:rPr>
                <w:rFonts w:hint="eastAsia" w:ascii="仿宋" w:hAnsi="仿宋" w:eastAsia="仿宋" w:cs="仿宋"/>
                <w:color w:val="000000"/>
                <w:spacing w:val="0"/>
                <w:w w:val="100"/>
                <w:position w:val="0"/>
                <w:sz w:val="24"/>
                <w:szCs w:val="24"/>
                <w:highlight w:val="none"/>
              </w:rPr>
            </w:pPr>
          </w:p>
        </w:tc>
        <w:tc>
          <w:tcPr>
            <w:tcW w:w="1662" w:type="dxa"/>
            <w:tcBorders>
              <w:top w:val="single" w:color="auto" w:sz="4" w:space="0"/>
              <w:left w:val="single" w:color="auto" w:sz="4" w:space="0"/>
              <w:bottom w:val="nil"/>
              <w:right w:val="single" w:color="auto" w:sz="4" w:space="0"/>
            </w:tcBorders>
            <w:shd w:val="clear" w:color="auto" w:fill="FFFFFF"/>
            <w:vAlign w:val="center"/>
          </w:tcPr>
          <w:p>
            <w:pPr>
              <w:pStyle w:val="6"/>
              <w:keepNext w:val="0"/>
              <w:keepLines w:val="0"/>
              <w:widowControl w:val="0"/>
              <w:shd w:val="clear" w:color="auto" w:fill="auto"/>
              <w:bidi w:val="0"/>
              <w:spacing w:before="0" w:after="0" w:line="328" w:lineRule="exact"/>
              <w:ind w:left="0" w:leftChars="0" w:right="0" w:rightChars="0" w:firstLine="0" w:firstLineChars="0"/>
              <w:jc w:val="center"/>
              <w:rPr>
                <w:rFonts w:hint="eastAsia" w:ascii="仿宋" w:hAnsi="仿宋" w:eastAsia="仿宋" w:cs="仿宋"/>
                <w:b/>
                <w:bCs/>
                <w:color w:val="000000"/>
                <w:spacing w:val="0"/>
                <w:w w:val="100"/>
                <w:position w:val="0"/>
                <w:sz w:val="24"/>
                <w:szCs w:val="24"/>
                <w:highlight w:val="none"/>
              </w:rPr>
            </w:pPr>
            <w:r>
              <w:rPr>
                <w:rFonts w:hint="eastAsia" w:ascii="仿宋" w:hAnsi="仿宋" w:eastAsia="仿宋" w:cs="仿宋"/>
                <w:b/>
                <w:bCs/>
                <w:color w:val="000000"/>
                <w:spacing w:val="0"/>
                <w:w w:val="100"/>
                <w:position w:val="0"/>
                <w:sz w:val="24"/>
                <w:szCs w:val="24"/>
                <w:lang w:val="en-US" w:eastAsia="zh-CN" w:bidi="en-US"/>
              </w:rPr>
              <w:t>6</w:t>
            </w:r>
            <w:r>
              <w:rPr>
                <w:rFonts w:hint="eastAsia" w:ascii="仿宋" w:hAnsi="仿宋" w:eastAsia="仿宋" w:cs="仿宋"/>
                <w:b/>
                <w:bCs/>
                <w:color w:val="000000"/>
                <w:spacing w:val="0"/>
                <w:w w:val="100"/>
                <w:position w:val="0"/>
                <w:sz w:val="24"/>
                <w:szCs w:val="24"/>
                <w:lang w:val="en-US" w:eastAsia="en-US" w:bidi="en-US"/>
              </w:rPr>
              <w:t>.</w:t>
            </w:r>
            <w:r>
              <w:rPr>
                <w:rFonts w:hint="eastAsia" w:ascii="仿宋" w:hAnsi="仿宋" w:eastAsia="仿宋" w:cs="仿宋"/>
                <w:b/>
                <w:bCs/>
                <w:color w:val="000000"/>
                <w:spacing w:val="0"/>
                <w:w w:val="100"/>
                <w:position w:val="0"/>
                <w:sz w:val="24"/>
                <w:szCs w:val="24"/>
                <w:lang w:val="en-US" w:eastAsia="zh-CN" w:bidi="en-US"/>
              </w:rPr>
              <w:t>强</w:t>
            </w:r>
            <w:r>
              <w:rPr>
                <w:rFonts w:hint="eastAsia" w:ascii="仿宋" w:hAnsi="仿宋" w:eastAsia="仿宋" w:cs="仿宋"/>
                <w:b/>
                <w:bCs/>
                <w:color w:val="000000"/>
                <w:spacing w:val="0"/>
                <w:w w:val="100"/>
                <w:position w:val="0"/>
                <w:sz w:val="24"/>
                <w:szCs w:val="24"/>
              </w:rPr>
              <w:t>化土 壤、地下 水污染协 同防治</w:t>
            </w:r>
          </w:p>
        </w:tc>
        <w:tc>
          <w:tcPr>
            <w:tcW w:w="7038" w:type="dxa"/>
            <w:tcBorders>
              <w:top w:val="single" w:color="auto" w:sz="4" w:space="0"/>
              <w:left w:val="single" w:color="auto" w:sz="4" w:space="0"/>
              <w:bottom w:val="single" w:color="auto" w:sz="4" w:space="0"/>
            </w:tcBorders>
            <w:shd w:val="clear" w:color="auto" w:fill="FFFFFF"/>
            <w:vAlign w:val="top"/>
          </w:tcPr>
          <w:p>
            <w:pPr>
              <w:pStyle w:val="6"/>
              <w:keepNext w:val="0"/>
              <w:keepLines w:val="0"/>
              <w:widowControl w:val="0"/>
              <w:shd w:val="clear" w:color="auto" w:fill="auto"/>
              <w:bidi w:val="0"/>
              <w:spacing w:before="0" w:after="0" w:line="319" w:lineRule="exact"/>
              <w:ind w:left="0" w:leftChars="0" w:right="0" w:rightChars="0" w:firstLine="0" w:firstLineChars="0"/>
              <w:jc w:val="both"/>
              <w:rPr>
                <w:rFonts w:hint="eastAsia" w:ascii="仿宋" w:hAnsi="仿宋" w:eastAsia="仿宋" w:cs="仿宋"/>
                <w:color w:val="000000"/>
                <w:spacing w:val="0"/>
                <w:w w:val="100"/>
                <w:position w:val="0"/>
                <w:sz w:val="24"/>
                <w:szCs w:val="24"/>
              </w:rPr>
            </w:pPr>
            <w:r>
              <w:rPr>
                <w:rFonts w:hint="eastAsia" w:ascii="仿宋" w:hAnsi="仿宋" w:eastAsia="仿宋" w:cs="仿宋"/>
                <w:color w:val="000000"/>
                <w:spacing w:val="0"/>
                <w:w w:val="100"/>
                <w:position w:val="0"/>
                <w:sz w:val="24"/>
                <w:szCs w:val="24"/>
                <w:lang w:eastAsia="zh-CN"/>
              </w:rPr>
              <w:t>①</w:t>
            </w:r>
            <w:r>
              <w:rPr>
                <w:rFonts w:hint="eastAsia" w:ascii="仿宋" w:hAnsi="仿宋" w:eastAsia="仿宋" w:cs="仿宋"/>
                <w:color w:val="000000"/>
                <w:spacing w:val="0"/>
                <w:w w:val="100"/>
                <w:position w:val="0"/>
                <w:sz w:val="24"/>
                <w:szCs w:val="24"/>
              </w:rPr>
              <w:t>严格落实《中华人民共和国土壤污染防治法》、“土十条</w:t>
            </w:r>
            <w:r>
              <w:rPr>
                <w:rFonts w:hint="eastAsia" w:ascii="仿宋" w:hAnsi="仿宋" w:eastAsia="仿宋" w:cs="仿宋"/>
                <w:color w:val="000000"/>
                <w:spacing w:val="0"/>
                <w:w w:val="100"/>
                <w:position w:val="0"/>
                <w:sz w:val="24"/>
                <w:szCs w:val="24"/>
                <w:lang w:val="zh-CN" w:eastAsia="zh-CN" w:bidi="zh-CN"/>
              </w:rPr>
              <w:t>”等有</w:t>
            </w:r>
            <w:r>
              <w:rPr>
                <w:rFonts w:hint="eastAsia" w:ascii="仿宋" w:hAnsi="仿宋" w:eastAsia="仿宋" w:cs="仿宋"/>
                <w:color w:val="000000"/>
                <w:spacing w:val="0"/>
                <w:w w:val="100"/>
                <w:position w:val="0"/>
                <w:sz w:val="24"/>
                <w:szCs w:val="24"/>
              </w:rPr>
              <w:t>关地下水污染防治的要求。各地要进一步加强土壤污染调查工作与地下水污染防治工作的协同，对安全利用类农用地地块的土壤污染影响或可能影响地下水的，制定污染防治方案时，应纳入地下水的内容。在防治项目立项、实施以及绩效评估等环节上，要将土壤和地下水污染防治统筹安排、同步考虑、同步落实。</w:t>
            </w:r>
          </w:p>
        </w:tc>
        <w:tc>
          <w:tcPr>
            <w:tcW w:w="1392"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rPr>
            </w:pPr>
            <w:r>
              <w:rPr>
                <w:rFonts w:hint="eastAsia" w:ascii="仿宋" w:hAnsi="仿宋" w:eastAsia="仿宋" w:cs="仿宋"/>
                <w:color w:val="000000"/>
                <w:spacing w:val="0"/>
                <w:w w:val="100"/>
                <w:position w:val="0"/>
                <w:sz w:val="24"/>
                <w:szCs w:val="24"/>
              </w:rPr>
              <w:t>持续推进</w:t>
            </w:r>
          </w:p>
        </w:tc>
        <w:tc>
          <w:tcPr>
            <w:tcW w:w="17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highlight w:val="none"/>
                <w:lang w:eastAsia="zh-CN"/>
              </w:rPr>
              <w:t>富锦市人民政府</w:t>
            </w:r>
          </w:p>
        </w:tc>
        <w:tc>
          <w:tcPr>
            <w:tcW w:w="229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42" w:lineRule="exact"/>
              <w:ind w:left="0" w:leftChars="0" w:right="0" w:rightChars="0" w:firstLine="0" w:firstLineChars="0"/>
              <w:jc w:val="center"/>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highlight w:val="none"/>
                <w:lang w:eastAsia="zh-CN"/>
              </w:rPr>
              <w:t>佳木斯市富锦生态环境局，</w:t>
            </w:r>
            <w:r>
              <w:rPr>
                <w:rFonts w:hint="eastAsia" w:ascii="仿宋" w:hAnsi="仿宋" w:eastAsia="仿宋" w:cs="仿宋"/>
                <w:color w:val="000000"/>
                <w:spacing w:val="0"/>
                <w:w w:val="100"/>
                <w:position w:val="0"/>
                <w:sz w:val="24"/>
                <w:szCs w:val="24"/>
                <w:lang w:eastAsia="zh-CN"/>
              </w:rPr>
              <w:t>市</w:t>
            </w:r>
            <w:r>
              <w:rPr>
                <w:rFonts w:hint="eastAsia" w:ascii="仿宋" w:hAnsi="仿宋" w:eastAsia="仿宋" w:cs="仿宋"/>
                <w:color w:val="000000"/>
                <w:spacing w:val="0"/>
                <w:w w:val="100"/>
                <w:position w:val="0"/>
                <w:sz w:val="24"/>
                <w:szCs w:val="24"/>
              </w:rPr>
              <w:t>农业农村</w:t>
            </w:r>
            <w:r>
              <w:rPr>
                <w:rFonts w:hint="eastAsia" w:ascii="仿宋" w:hAnsi="仿宋" w:eastAsia="仿宋" w:cs="仿宋"/>
                <w:color w:val="000000"/>
                <w:spacing w:val="0"/>
                <w:w w:val="100"/>
                <w:position w:val="0"/>
                <w:sz w:val="24"/>
                <w:szCs w:val="24"/>
                <w:lang w:eastAsia="zh-CN"/>
              </w:rPr>
              <w:t>局等</w:t>
            </w:r>
          </w:p>
        </w:tc>
      </w:tr>
      <w:tr>
        <w:tblPrEx>
          <w:tblCellMar>
            <w:top w:w="0" w:type="dxa"/>
            <w:left w:w="10" w:type="dxa"/>
            <w:bottom w:w="0" w:type="dxa"/>
            <w:right w:w="10" w:type="dxa"/>
          </w:tblCellMar>
        </w:tblPrEx>
        <w:trPr>
          <w:trHeight w:val="2572" w:hRule="exact"/>
          <w:jc w:val="center"/>
        </w:trPr>
        <w:tc>
          <w:tcPr>
            <w:tcW w:w="1320" w:type="dxa"/>
            <w:vMerge w:val="restart"/>
            <w:tcBorders>
              <w:top w:val="single" w:color="auto" w:sz="4" w:space="0"/>
              <w:left w:val="single" w:color="auto" w:sz="4" w:space="0"/>
            </w:tcBorders>
            <w:shd w:val="clear" w:color="auto" w:fill="FFFFFF"/>
            <w:vAlign w:val="center"/>
          </w:tcPr>
          <w:p>
            <w:pPr>
              <w:jc w:val="center"/>
              <w:rPr>
                <w:rFonts w:hint="eastAsia" w:ascii="仿宋" w:hAnsi="仿宋" w:eastAsia="仿宋" w:cs="仿宋"/>
                <w:color w:val="000000"/>
                <w:spacing w:val="0"/>
                <w:w w:val="100"/>
                <w:position w:val="0"/>
                <w:sz w:val="24"/>
                <w:szCs w:val="24"/>
                <w:highlight w:val="none"/>
              </w:rPr>
            </w:pPr>
            <w:r>
              <w:rPr>
                <w:rFonts w:hint="eastAsia" w:ascii="仿宋" w:hAnsi="仿宋" w:eastAsia="仿宋" w:cs="仿宋"/>
                <w:color w:val="000000"/>
                <w:spacing w:val="0"/>
                <w:w w:val="100"/>
                <w:position w:val="0"/>
                <w:sz w:val="24"/>
                <w:szCs w:val="24"/>
              </w:rPr>
              <w:t>（四）加强地下水污染与地表水、土壤等共生环境协同防治</w:t>
            </w:r>
          </w:p>
        </w:tc>
        <w:tc>
          <w:tcPr>
            <w:tcW w:w="1662" w:type="dxa"/>
            <w:tcBorders>
              <w:top w:val="nil"/>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28" w:lineRule="exact"/>
              <w:ind w:left="0" w:leftChars="0" w:right="0" w:rightChars="0" w:firstLine="0" w:firstLineChars="0"/>
              <w:jc w:val="center"/>
              <w:rPr>
                <w:rFonts w:hint="eastAsia" w:ascii="仿宋" w:hAnsi="仿宋" w:eastAsia="仿宋" w:cs="仿宋"/>
                <w:b/>
                <w:bCs/>
                <w:color w:val="000000"/>
                <w:spacing w:val="0"/>
                <w:w w:val="100"/>
                <w:position w:val="0"/>
                <w:sz w:val="24"/>
                <w:szCs w:val="24"/>
                <w:lang w:val="en-US" w:eastAsia="en-US" w:bidi="en-US"/>
              </w:rPr>
            </w:pPr>
            <w:r>
              <w:rPr>
                <w:rFonts w:hint="eastAsia" w:ascii="仿宋" w:hAnsi="仿宋" w:eastAsia="仿宋" w:cs="仿宋"/>
                <w:b/>
                <w:bCs/>
                <w:color w:val="000000"/>
                <w:spacing w:val="0"/>
                <w:w w:val="100"/>
                <w:position w:val="0"/>
                <w:sz w:val="24"/>
                <w:szCs w:val="24"/>
                <w:lang w:val="en-US" w:eastAsia="zh-CN" w:bidi="en-US"/>
              </w:rPr>
              <w:t>6</w:t>
            </w:r>
            <w:r>
              <w:rPr>
                <w:rFonts w:hint="eastAsia" w:ascii="仿宋" w:hAnsi="仿宋" w:eastAsia="仿宋" w:cs="仿宋"/>
                <w:b/>
                <w:bCs/>
                <w:color w:val="000000"/>
                <w:spacing w:val="0"/>
                <w:w w:val="100"/>
                <w:position w:val="0"/>
                <w:sz w:val="24"/>
                <w:szCs w:val="24"/>
                <w:lang w:val="en-US" w:eastAsia="en-US" w:bidi="en-US"/>
              </w:rPr>
              <w:t>.</w:t>
            </w:r>
            <w:r>
              <w:rPr>
                <w:rFonts w:hint="eastAsia" w:ascii="仿宋" w:hAnsi="仿宋" w:eastAsia="仿宋" w:cs="仿宋"/>
                <w:b/>
                <w:bCs/>
                <w:color w:val="000000"/>
                <w:spacing w:val="0"/>
                <w:w w:val="100"/>
                <w:position w:val="0"/>
                <w:sz w:val="24"/>
                <w:szCs w:val="24"/>
                <w:lang w:val="en-US" w:eastAsia="zh-CN" w:bidi="en-US"/>
              </w:rPr>
              <w:t>强</w:t>
            </w:r>
            <w:r>
              <w:rPr>
                <w:rFonts w:hint="eastAsia" w:ascii="仿宋" w:hAnsi="仿宋" w:eastAsia="仿宋" w:cs="仿宋"/>
                <w:b/>
                <w:bCs/>
                <w:color w:val="000000"/>
                <w:spacing w:val="0"/>
                <w:w w:val="100"/>
                <w:position w:val="0"/>
                <w:sz w:val="24"/>
                <w:szCs w:val="24"/>
              </w:rPr>
              <w:t>化土壤、地下水污染协同防治</w:t>
            </w:r>
          </w:p>
        </w:tc>
        <w:tc>
          <w:tcPr>
            <w:tcW w:w="7038" w:type="dxa"/>
            <w:tcBorders>
              <w:top w:val="single" w:color="auto" w:sz="4" w:space="0"/>
              <w:left w:val="single" w:color="auto" w:sz="4" w:space="0"/>
              <w:bottom w:val="single" w:color="auto" w:sz="4" w:space="0"/>
            </w:tcBorders>
            <w:shd w:val="clear" w:color="auto" w:fill="FFFFFF"/>
            <w:vAlign w:val="top"/>
          </w:tcPr>
          <w:p>
            <w:pPr>
              <w:pStyle w:val="6"/>
              <w:keepNext w:val="0"/>
              <w:keepLines w:val="0"/>
              <w:widowControl w:val="0"/>
              <w:shd w:val="clear" w:color="auto" w:fill="auto"/>
              <w:bidi w:val="0"/>
              <w:spacing w:before="0" w:after="0" w:line="319" w:lineRule="exact"/>
              <w:ind w:left="0" w:leftChars="0" w:right="0" w:rightChars="0" w:firstLine="0" w:firstLineChars="0"/>
              <w:jc w:val="both"/>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lang w:eastAsia="zh-CN"/>
              </w:rPr>
              <w:t>②</w:t>
            </w:r>
            <w:r>
              <w:rPr>
                <w:rFonts w:hint="eastAsia" w:ascii="仿宋" w:hAnsi="仿宋" w:eastAsia="仿宋" w:cs="仿宋"/>
                <w:color w:val="000000"/>
                <w:spacing w:val="0"/>
                <w:w w:val="100"/>
                <w:position w:val="0"/>
                <w:sz w:val="24"/>
                <w:szCs w:val="24"/>
              </w:rPr>
              <w:t>严格落实《中华人民共和国土壤污染防治法》、“土十条</w:t>
            </w:r>
            <w:r>
              <w:rPr>
                <w:rFonts w:hint="eastAsia" w:ascii="仿宋" w:hAnsi="仿宋" w:eastAsia="仿宋" w:cs="仿宋"/>
                <w:color w:val="000000"/>
                <w:spacing w:val="0"/>
                <w:w w:val="100"/>
                <w:position w:val="0"/>
                <w:sz w:val="24"/>
                <w:szCs w:val="24"/>
                <w:lang w:val="zh-CN" w:eastAsia="zh-CN" w:bidi="zh-CN"/>
              </w:rPr>
              <w:t>”等有</w:t>
            </w:r>
            <w:r>
              <w:rPr>
                <w:rFonts w:hint="eastAsia" w:ascii="仿宋" w:hAnsi="仿宋" w:eastAsia="仿宋" w:cs="仿宋"/>
                <w:color w:val="000000"/>
                <w:spacing w:val="0"/>
                <w:w w:val="100"/>
                <w:position w:val="0"/>
                <w:sz w:val="24"/>
                <w:szCs w:val="24"/>
              </w:rPr>
              <w:t>关地下水污染防治的要求。对污染物含量超过土壤污染风险管控标准的建设用地地块，土壤污染状况调查报告应当包括地下水是否受到污染等内容；对列入风险管控和修复名录中的建设用地地块，实施风险管控措施应包括地下水污染防治的内容；实施修复的地块，修复方案应当包括地下水污染修复的内容。在防治项目立项、实施以及绩效评估等环节上，要将土壤和地下水污染防治统筹安排、同步考虑、同步落实。</w:t>
            </w:r>
          </w:p>
        </w:tc>
        <w:tc>
          <w:tcPr>
            <w:tcW w:w="1392"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rPr>
            </w:pPr>
            <w:r>
              <w:rPr>
                <w:rFonts w:hint="eastAsia" w:ascii="仿宋" w:hAnsi="仿宋" w:eastAsia="仿宋" w:cs="仿宋"/>
                <w:color w:val="000000"/>
                <w:spacing w:val="0"/>
                <w:w w:val="100"/>
                <w:position w:val="0"/>
                <w:sz w:val="24"/>
                <w:szCs w:val="24"/>
              </w:rPr>
              <w:t>持续推进</w:t>
            </w:r>
          </w:p>
        </w:tc>
        <w:tc>
          <w:tcPr>
            <w:tcW w:w="17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highlight w:val="none"/>
                <w:lang w:eastAsia="zh-CN"/>
              </w:rPr>
              <w:t>富锦市人民政府</w:t>
            </w:r>
          </w:p>
        </w:tc>
        <w:tc>
          <w:tcPr>
            <w:tcW w:w="229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42" w:lineRule="exact"/>
              <w:ind w:left="0" w:leftChars="0" w:right="0" w:rightChars="0" w:firstLine="0" w:firstLineChars="0"/>
              <w:jc w:val="center"/>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highlight w:val="none"/>
                <w:lang w:eastAsia="zh-CN"/>
              </w:rPr>
              <w:t>佳木斯市富锦生态环境局，</w:t>
            </w:r>
            <w:r>
              <w:rPr>
                <w:rFonts w:hint="eastAsia" w:ascii="仿宋" w:hAnsi="仿宋" w:eastAsia="仿宋" w:cs="仿宋"/>
                <w:color w:val="000000"/>
                <w:spacing w:val="0"/>
                <w:w w:val="100"/>
                <w:position w:val="0"/>
                <w:sz w:val="24"/>
                <w:szCs w:val="24"/>
                <w:lang w:eastAsia="zh-CN"/>
              </w:rPr>
              <w:t>市自然资源局等</w:t>
            </w:r>
          </w:p>
        </w:tc>
      </w:tr>
      <w:tr>
        <w:tblPrEx>
          <w:tblCellMar>
            <w:top w:w="0" w:type="dxa"/>
            <w:left w:w="10" w:type="dxa"/>
            <w:bottom w:w="0" w:type="dxa"/>
            <w:right w:w="10" w:type="dxa"/>
          </w:tblCellMar>
        </w:tblPrEx>
        <w:trPr>
          <w:trHeight w:val="1327" w:hRule="exact"/>
          <w:jc w:val="center"/>
        </w:trPr>
        <w:tc>
          <w:tcPr>
            <w:tcW w:w="1320" w:type="dxa"/>
            <w:vMerge w:val="continue"/>
            <w:tcBorders>
              <w:left w:val="single" w:color="auto" w:sz="4" w:space="0"/>
            </w:tcBorders>
            <w:shd w:val="clear" w:color="auto" w:fill="FFFFFF"/>
            <w:vAlign w:val="center"/>
          </w:tcPr>
          <w:p>
            <w:pPr>
              <w:rPr>
                <w:rFonts w:hint="eastAsia" w:ascii="仿宋" w:hAnsi="仿宋" w:eastAsia="仿宋" w:cs="仿宋"/>
                <w:color w:val="000000"/>
                <w:spacing w:val="0"/>
                <w:w w:val="100"/>
                <w:position w:val="0"/>
                <w:sz w:val="24"/>
                <w:szCs w:val="24"/>
                <w:highlight w:val="none"/>
              </w:rPr>
            </w:pPr>
          </w:p>
        </w:tc>
        <w:tc>
          <w:tcPr>
            <w:tcW w:w="166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22" w:lineRule="exact"/>
              <w:ind w:left="0" w:leftChars="0" w:right="0" w:rightChars="0" w:firstLine="0" w:firstLineChars="0"/>
              <w:jc w:val="center"/>
              <w:rPr>
                <w:rFonts w:hint="eastAsia" w:ascii="仿宋" w:hAnsi="仿宋" w:eastAsia="仿宋" w:cs="仿宋"/>
                <w:b/>
                <w:bCs/>
                <w:color w:val="000000"/>
                <w:spacing w:val="0"/>
                <w:w w:val="100"/>
                <w:position w:val="0"/>
                <w:sz w:val="24"/>
                <w:szCs w:val="24"/>
                <w:lang w:val="en-US" w:eastAsia="en-US" w:bidi="en-US"/>
              </w:rPr>
            </w:pPr>
            <w:r>
              <w:rPr>
                <w:rFonts w:hint="eastAsia" w:ascii="仿宋" w:hAnsi="仿宋" w:eastAsia="仿宋" w:cs="仿宋"/>
                <w:b/>
                <w:bCs/>
                <w:color w:val="000000"/>
                <w:spacing w:val="0"/>
                <w:w w:val="100"/>
                <w:position w:val="0"/>
                <w:sz w:val="24"/>
                <w:szCs w:val="24"/>
                <w:lang w:val="en-US" w:eastAsia="zh-CN" w:bidi="en-US"/>
              </w:rPr>
              <w:t>7</w:t>
            </w:r>
            <w:r>
              <w:rPr>
                <w:rFonts w:hint="eastAsia" w:ascii="仿宋" w:hAnsi="仿宋" w:eastAsia="仿宋" w:cs="仿宋"/>
                <w:b/>
                <w:bCs/>
                <w:color w:val="000000"/>
                <w:spacing w:val="0"/>
                <w:w w:val="100"/>
                <w:position w:val="0"/>
                <w:sz w:val="24"/>
                <w:szCs w:val="24"/>
                <w:lang w:val="en-US" w:eastAsia="en-US" w:bidi="en-US"/>
              </w:rPr>
              <w:t>.</w:t>
            </w:r>
            <w:r>
              <w:rPr>
                <w:rFonts w:hint="eastAsia" w:ascii="仿宋" w:hAnsi="仿宋" w:eastAsia="仿宋" w:cs="仿宋"/>
                <w:b/>
                <w:bCs/>
                <w:color w:val="000000"/>
                <w:spacing w:val="0"/>
                <w:w w:val="100"/>
                <w:position w:val="0"/>
                <w:sz w:val="24"/>
                <w:szCs w:val="24"/>
              </w:rPr>
              <w:t>加强区域与场地地下水污 染协同防治</w:t>
            </w:r>
          </w:p>
        </w:tc>
        <w:tc>
          <w:tcPr>
            <w:tcW w:w="7038"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318" w:lineRule="exact"/>
              <w:ind w:left="0" w:leftChars="0" w:right="0" w:rightChars="0" w:firstLine="0" w:firstLineChars="0"/>
              <w:jc w:val="both"/>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rPr>
              <w:t>①按照国家地下水污染防治分区划分技术要求，结合自然资源部门开展的地下水资源分区工作，对地下水型饮用水源较多的优先启动地下水污染分区划定试点工作。地下水污染防治分区划分技术要求见附件2。</w:t>
            </w:r>
          </w:p>
        </w:tc>
        <w:tc>
          <w:tcPr>
            <w:tcW w:w="1392"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80" w:line="240" w:lineRule="auto"/>
              <w:ind w:left="0" w:leftChars="0" w:right="0" w:rightChars="0" w:firstLine="0" w:firstLineChars="0"/>
              <w:jc w:val="center"/>
              <w:rPr>
                <w:rFonts w:hint="eastAsia" w:ascii="仿宋" w:hAnsi="仿宋" w:eastAsia="仿宋" w:cs="仿宋"/>
                <w:color w:val="000000"/>
                <w:spacing w:val="0"/>
                <w:w w:val="100"/>
                <w:position w:val="0"/>
                <w:sz w:val="24"/>
                <w:szCs w:val="24"/>
              </w:rPr>
            </w:pPr>
            <w:r>
              <w:rPr>
                <w:rFonts w:hint="eastAsia" w:ascii="仿宋" w:hAnsi="仿宋" w:eastAsia="仿宋" w:cs="仿宋"/>
                <w:color w:val="000000"/>
                <w:spacing w:val="0"/>
                <w:w w:val="100"/>
                <w:position w:val="0"/>
                <w:sz w:val="24"/>
                <w:szCs w:val="24"/>
              </w:rPr>
              <w:t>202</w:t>
            </w:r>
            <w:r>
              <w:rPr>
                <w:rFonts w:hint="eastAsia" w:ascii="仿宋" w:hAnsi="仿宋" w:eastAsia="仿宋" w:cs="仿宋"/>
                <w:color w:val="000000"/>
                <w:spacing w:val="0"/>
                <w:w w:val="100"/>
                <w:position w:val="0"/>
                <w:sz w:val="24"/>
                <w:szCs w:val="24"/>
                <w:lang w:val="en-US" w:eastAsia="zh-CN"/>
              </w:rPr>
              <w:t>1</w:t>
            </w:r>
            <w:r>
              <w:rPr>
                <w:rFonts w:hint="eastAsia" w:ascii="仿宋" w:hAnsi="仿宋" w:eastAsia="仿宋" w:cs="仿宋"/>
                <w:color w:val="000000"/>
                <w:spacing w:val="0"/>
                <w:w w:val="100"/>
                <w:position w:val="0"/>
                <w:sz w:val="24"/>
                <w:szCs w:val="24"/>
              </w:rPr>
              <w:t>年启动</w:t>
            </w:r>
          </w:p>
        </w:tc>
        <w:tc>
          <w:tcPr>
            <w:tcW w:w="4002" w:type="dxa"/>
            <w:gridSpan w:val="3"/>
            <w:vMerge w:val="restart"/>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80" w:line="240" w:lineRule="auto"/>
              <w:ind w:left="0" w:leftChars="0" w:right="0" w:rightChars="0" w:firstLine="0" w:firstLineChars="0"/>
              <w:jc w:val="center"/>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highlight w:val="none"/>
                <w:lang w:eastAsia="zh-CN"/>
              </w:rPr>
              <w:t>富锦市人民政府牵头，佳木斯市富锦生态环境局</w:t>
            </w:r>
            <w:r>
              <w:rPr>
                <w:rFonts w:hint="eastAsia" w:ascii="仿宋" w:hAnsi="仿宋" w:eastAsia="仿宋" w:cs="仿宋"/>
                <w:color w:val="000000"/>
                <w:spacing w:val="0"/>
                <w:w w:val="100"/>
                <w:position w:val="0"/>
                <w:sz w:val="24"/>
                <w:szCs w:val="24"/>
                <w:lang w:eastAsia="zh-CN"/>
              </w:rPr>
              <w:t>，市</w:t>
            </w:r>
            <w:r>
              <w:rPr>
                <w:rFonts w:hint="eastAsia" w:ascii="仿宋" w:hAnsi="仿宋" w:eastAsia="仿宋" w:cs="仿宋"/>
                <w:color w:val="000000"/>
                <w:spacing w:val="0"/>
                <w:w w:val="100"/>
                <w:position w:val="0"/>
                <w:sz w:val="24"/>
                <w:szCs w:val="24"/>
              </w:rPr>
              <w:t>自然资源</w:t>
            </w:r>
            <w:r>
              <w:rPr>
                <w:rFonts w:hint="eastAsia" w:ascii="仿宋" w:hAnsi="仿宋" w:eastAsia="仿宋" w:cs="仿宋"/>
                <w:color w:val="000000"/>
                <w:spacing w:val="0"/>
                <w:w w:val="100"/>
                <w:position w:val="0"/>
                <w:sz w:val="24"/>
                <w:szCs w:val="24"/>
                <w:lang w:eastAsia="zh-CN"/>
              </w:rPr>
              <w:t>局</w:t>
            </w:r>
            <w:r>
              <w:rPr>
                <w:rFonts w:hint="eastAsia" w:ascii="仿宋" w:hAnsi="仿宋" w:eastAsia="仿宋" w:cs="仿宋"/>
                <w:color w:val="000000"/>
                <w:spacing w:val="0"/>
                <w:w w:val="100"/>
                <w:position w:val="0"/>
                <w:sz w:val="24"/>
                <w:szCs w:val="24"/>
              </w:rPr>
              <w:t>等</w:t>
            </w:r>
            <w:r>
              <w:rPr>
                <w:rFonts w:hint="eastAsia" w:ascii="仿宋" w:hAnsi="仿宋" w:eastAsia="仿宋" w:cs="仿宋"/>
                <w:color w:val="000000"/>
                <w:spacing w:val="0"/>
                <w:w w:val="100"/>
                <w:position w:val="0"/>
                <w:sz w:val="24"/>
                <w:szCs w:val="24"/>
                <w:lang w:eastAsia="zh-CN"/>
              </w:rPr>
              <w:t>参与</w:t>
            </w:r>
          </w:p>
        </w:tc>
      </w:tr>
      <w:tr>
        <w:tblPrEx>
          <w:tblCellMar>
            <w:top w:w="0" w:type="dxa"/>
            <w:left w:w="10" w:type="dxa"/>
            <w:bottom w:w="0" w:type="dxa"/>
            <w:right w:w="10" w:type="dxa"/>
          </w:tblCellMar>
        </w:tblPrEx>
        <w:trPr>
          <w:trHeight w:val="702" w:hRule="exact"/>
          <w:jc w:val="center"/>
        </w:trPr>
        <w:tc>
          <w:tcPr>
            <w:tcW w:w="1320" w:type="dxa"/>
            <w:vMerge w:val="continue"/>
            <w:tcBorders>
              <w:left w:val="single" w:color="auto" w:sz="4" w:space="0"/>
            </w:tcBorders>
            <w:shd w:val="clear" w:color="auto" w:fill="FFFFFF"/>
            <w:vAlign w:val="center"/>
          </w:tcPr>
          <w:p>
            <w:pPr>
              <w:rPr>
                <w:rFonts w:hint="eastAsia" w:ascii="仿宋" w:hAnsi="仿宋" w:eastAsia="仿宋" w:cs="仿宋"/>
                <w:color w:val="000000"/>
                <w:spacing w:val="0"/>
                <w:w w:val="100"/>
                <w:position w:val="0"/>
                <w:sz w:val="24"/>
                <w:szCs w:val="24"/>
                <w:highlight w:val="none"/>
              </w:rPr>
            </w:pPr>
          </w:p>
        </w:tc>
        <w:tc>
          <w:tcPr>
            <w:tcW w:w="166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仿宋" w:hAnsi="仿宋" w:eastAsia="仿宋" w:cs="仿宋"/>
                <w:b/>
                <w:bCs/>
                <w:color w:val="000000"/>
                <w:spacing w:val="0"/>
                <w:w w:val="100"/>
                <w:position w:val="0"/>
                <w:sz w:val="24"/>
                <w:szCs w:val="24"/>
                <w:lang w:val="en-US" w:eastAsia="en-US" w:bidi="en-US"/>
              </w:rPr>
            </w:pPr>
          </w:p>
        </w:tc>
        <w:tc>
          <w:tcPr>
            <w:tcW w:w="7038"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330" w:lineRule="exact"/>
              <w:ind w:left="0" w:leftChars="0" w:right="0" w:rightChars="0" w:firstLine="0" w:firstLineChars="0"/>
              <w:jc w:val="both"/>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rPr>
              <w:t>②</w:t>
            </w:r>
            <w:r>
              <w:rPr>
                <w:rFonts w:hint="eastAsia" w:ascii="仿宋" w:hAnsi="仿宋" w:eastAsia="仿宋" w:cs="仿宋"/>
                <w:color w:val="000000"/>
                <w:spacing w:val="0"/>
                <w:w w:val="100"/>
                <w:position w:val="0"/>
                <w:sz w:val="24"/>
                <w:szCs w:val="24"/>
                <w:lang w:eastAsia="zh-CN"/>
              </w:rPr>
              <w:t>市政府</w:t>
            </w:r>
            <w:r>
              <w:rPr>
                <w:rFonts w:hint="eastAsia" w:ascii="仿宋" w:hAnsi="仿宋" w:eastAsia="仿宋" w:cs="仿宋"/>
                <w:color w:val="000000"/>
                <w:spacing w:val="0"/>
                <w:w w:val="100"/>
                <w:position w:val="0"/>
                <w:sz w:val="24"/>
                <w:szCs w:val="24"/>
              </w:rPr>
              <w:t>全面开展地下水污染分区划分，提出地下水污染分区防治措施，实施地下水污染源分类监管。</w:t>
            </w:r>
          </w:p>
        </w:tc>
        <w:tc>
          <w:tcPr>
            <w:tcW w:w="1392"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rPr>
            </w:pPr>
            <w:r>
              <w:rPr>
                <w:rFonts w:hint="eastAsia" w:ascii="仿宋" w:hAnsi="仿宋" w:eastAsia="仿宋" w:cs="仿宋"/>
                <w:color w:val="000000"/>
                <w:spacing w:val="0"/>
                <w:w w:val="100"/>
                <w:position w:val="0"/>
                <w:sz w:val="24"/>
                <w:szCs w:val="24"/>
              </w:rPr>
              <w:t>202</w:t>
            </w:r>
            <w:r>
              <w:rPr>
                <w:rFonts w:hint="eastAsia" w:ascii="仿宋" w:hAnsi="仿宋" w:eastAsia="仿宋" w:cs="仿宋"/>
                <w:color w:val="000000"/>
                <w:spacing w:val="0"/>
                <w:w w:val="100"/>
                <w:position w:val="0"/>
                <w:sz w:val="24"/>
                <w:szCs w:val="24"/>
                <w:lang w:val="en-US" w:eastAsia="zh-CN"/>
              </w:rPr>
              <w:t>1</w:t>
            </w:r>
            <w:r>
              <w:rPr>
                <w:rFonts w:hint="eastAsia" w:ascii="仿宋" w:hAnsi="仿宋" w:eastAsia="仿宋" w:cs="仿宋"/>
                <w:color w:val="000000"/>
                <w:spacing w:val="0"/>
                <w:w w:val="100"/>
                <w:position w:val="0"/>
                <w:sz w:val="24"/>
                <w:szCs w:val="24"/>
              </w:rPr>
              <w:t>年启动</w:t>
            </w:r>
          </w:p>
        </w:tc>
        <w:tc>
          <w:tcPr>
            <w:tcW w:w="4002" w:type="dxa"/>
            <w:gridSpan w:val="3"/>
            <w:vMerge w:val="continue"/>
            <w:tcBorders>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lang w:eastAsia="zh-CN"/>
              </w:rPr>
            </w:pPr>
          </w:p>
        </w:tc>
      </w:tr>
      <w:tr>
        <w:tblPrEx>
          <w:tblCellMar>
            <w:top w:w="0" w:type="dxa"/>
            <w:left w:w="10" w:type="dxa"/>
            <w:bottom w:w="0" w:type="dxa"/>
            <w:right w:w="10" w:type="dxa"/>
          </w:tblCellMar>
        </w:tblPrEx>
        <w:trPr>
          <w:trHeight w:val="1367" w:hRule="exact"/>
          <w:jc w:val="center"/>
        </w:trPr>
        <w:tc>
          <w:tcPr>
            <w:tcW w:w="1320" w:type="dxa"/>
            <w:vMerge w:val="continue"/>
            <w:tcBorders>
              <w:left w:val="single" w:color="auto" w:sz="4" w:space="0"/>
              <w:bottom w:val="single" w:color="auto" w:sz="4" w:space="0"/>
            </w:tcBorders>
            <w:shd w:val="clear" w:color="auto" w:fill="FFFFFF"/>
            <w:vAlign w:val="center"/>
          </w:tcPr>
          <w:p>
            <w:pPr>
              <w:rPr>
                <w:rFonts w:hint="eastAsia" w:ascii="仿宋" w:hAnsi="仿宋" w:eastAsia="仿宋" w:cs="仿宋"/>
                <w:color w:val="000000"/>
                <w:spacing w:val="0"/>
                <w:w w:val="100"/>
                <w:position w:val="0"/>
                <w:sz w:val="24"/>
                <w:szCs w:val="24"/>
                <w:highlight w:val="none"/>
              </w:rPr>
            </w:pPr>
          </w:p>
        </w:tc>
        <w:tc>
          <w:tcPr>
            <w:tcW w:w="166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仿宋" w:hAnsi="仿宋" w:eastAsia="仿宋" w:cs="仿宋"/>
                <w:b/>
                <w:bCs/>
                <w:color w:val="000000"/>
                <w:spacing w:val="0"/>
                <w:w w:val="100"/>
                <w:position w:val="0"/>
                <w:sz w:val="24"/>
                <w:szCs w:val="24"/>
                <w:lang w:val="en-US" w:eastAsia="en-US" w:bidi="en-US"/>
              </w:rPr>
            </w:pPr>
          </w:p>
        </w:tc>
        <w:tc>
          <w:tcPr>
            <w:tcW w:w="7038"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100" w:after="0" w:line="315" w:lineRule="exact"/>
              <w:ind w:left="0" w:leftChars="0" w:right="0" w:rightChars="0" w:firstLine="0" w:firstLineChars="0"/>
              <w:jc w:val="both"/>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rPr>
              <w:t>③优先选择以保护地下水型饮用水源环境安全为目的的场地和因非法排放水污染物造成地下水含水层直接污染，或已完成土壤修复尚未开展地下水污染修复防控工作的场地，开展地下水污染修复（防控）工作。</w:t>
            </w:r>
          </w:p>
        </w:tc>
        <w:tc>
          <w:tcPr>
            <w:tcW w:w="1392"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rPr>
            </w:pPr>
            <w:r>
              <w:rPr>
                <w:rFonts w:hint="eastAsia" w:ascii="仿宋" w:hAnsi="仿宋" w:eastAsia="仿宋" w:cs="仿宋"/>
                <w:color w:val="000000"/>
                <w:spacing w:val="0"/>
                <w:w w:val="100"/>
                <w:position w:val="0"/>
                <w:sz w:val="24"/>
                <w:szCs w:val="24"/>
              </w:rPr>
              <w:t>持续推进</w:t>
            </w:r>
          </w:p>
        </w:tc>
        <w:tc>
          <w:tcPr>
            <w:tcW w:w="4002" w:type="dxa"/>
            <w:gridSpan w:val="3"/>
            <w:vMerge w:val="continue"/>
            <w:tcBorders>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lang w:eastAsia="zh-CN"/>
              </w:rPr>
            </w:pPr>
          </w:p>
        </w:tc>
      </w:tr>
      <w:tr>
        <w:tblPrEx>
          <w:tblCellMar>
            <w:top w:w="0" w:type="dxa"/>
            <w:left w:w="10" w:type="dxa"/>
            <w:bottom w:w="0" w:type="dxa"/>
            <w:right w:w="10" w:type="dxa"/>
          </w:tblCellMar>
        </w:tblPrEx>
        <w:trPr>
          <w:trHeight w:val="767" w:hRule="exact"/>
          <w:jc w:val="center"/>
        </w:trPr>
        <w:tc>
          <w:tcPr>
            <w:tcW w:w="1320" w:type="dxa"/>
            <w:vMerge w:val="restart"/>
            <w:tcBorders>
              <w:top w:val="single" w:color="auto" w:sz="4" w:space="0"/>
              <w:left w:val="single" w:color="auto" w:sz="4" w:space="0"/>
              <w:right w:val="single" w:color="auto" w:sz="4" w:space="0"/>
            </w:tcBorders>
            <w:shd w:val="clear" w:color="auto" w:fill="FFFFFF"/>
            <w:vAlign w:val="center"/>
          </w:tcPr>
          <w:p>
            <w:pPr>
              <w:jc w:val="center"/>
              <w:rPr>
                <w:rFonts w:hint="eastAsia" w:ascii="仿宋" w:hAnsi="仿宋" w:eastAsia="仿宋" w:cs="仿宋"/>
                <w:color w:val="000000"/>
                <w:spacing w:val="0"/>
                <w:w w:val="100"/>
                <w:position w:val="0"/>
                <w:sz w:val="24"/>
                <w:szCs w:val="24"/>
                <w:highlight w:val="none"/>
              </w:rPr>
            </w:pPr>
            <w:r>
              <w:rPr>
                <w:rFonts w:hint="eastAsia" w:ascii="仿宋" w:hAnsi="仿宋" w:eastAsia="仿宋" w:cs="仿宋"/>
                <w:color w:val="000000"/>
                <w:spacing w:val="0"/>
                <w:w w:val="100"/>
                <w:position w:val="0"/>
                <w:sz w:val="24"/>
                <w:szCs w:val="24"/>
              </w:rPr>
              <w:t>（五）以落实《水十条》任务及试点示范为抓手推进地下水重点污染源风险防控</w:t>
            </w:r>
          </w:p>
        </w:tc>
        <w:tc>
          <w:tcPr>
            <w:tcW w:w="1662" w:type="dxa"/>
            <w:vMerge w:val="restart"/>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20" w:lineRule="exact"/>
              <w:ind w:left="0" w:right="0" w:firstLine="0"/>
              <w:jc w:val="center"/>
              <w:rPr>
                <w:rFonts w:hint="eastAsia" w:ascii="仿宋" w:hAnsi="仿宋" w:eastAsia="仿宋" w:cs="仿宋"/>
                <w:b/>
                <w:bCs/>
                <w:color w:val="000000"/>
                <w:spacing w:val="0"/>
                <w:w w:val="100"/>
                <w:position w:val="0"/>
                <w:sz w:val="24"/>
                <w:szCs w:val="24"/>
              </w:rPr>
            </w:pPr>
            <w:r>
              <w:rPr>
                <w:rFonts w:hint="eastAsia" w:ascii="仿宋" w:hAnsi="仿宋" w:eastAsia="仿宋" w:cs="仿宋"/>
                <w:b/>
                <w:bCs/>
                <w:color w:val="000000"/>
                <w:spacing w:val="0"/>
                <w:w w:val="100"/>
                <w:position w:val="0"/>
                <w:sz w:val="24"/>
                <w:szCs w:val="24"/>
                <w:lang w:val="en-US" w:eastAsia="zh-CN" w:bidi="en-US"/>
              </w:rPr>
              <w:t>8</w:t>
            </w:r>
            <w:r>
              <w:rPr>
                <w:rFonts w:hint="eastAsia" w:ascii="仿宋" w:hAnsi="仿宋" w:eastAsia="仿宋" w:cs="仿宋"/>
                <w:b/>
                <w:bCs/>
                <w:color w:val="000000"/>
                <w:spacing w:val="0"/>
                <w:w w:val="100"/>
                <w:position w:val="0"/>
                <w:sz w:val="24"/>
                <w:szCs w:val="24"/>
                <w:lang w:val="en-US" w:eastAsia="en-US" w:bidi="en-US"/>
              </w:rPr>
              <w:t>.</w:t>
            </w:r>
            <w:r>
              <w:rPr>
                <w:rFonts w:hint="eastAsia" w:ascii="仿宋" w:hAnsi="仿宋" w:eastAsia="仿宋" w:cs="仿宋"/>
                <w:b/>
                <w:bCs/>
                <w:color w:val="000000"/>
                <w:spacing w:val="0"/>
                <w:w w:val="100"/>
                <w:position w:val="0"/>
                <w:sz w:val="24"/>
                <w:szCs w:val="24"/>
              </w:rPr>
              <w:t>落实 “水十条” 任务，持续推进地下水基础环境状况</w:t>
            </w:r>
          </w:p>
          <w:p>
            <w:pPr>
              <w:rPr>
                <w:rFonts w:hint="eastAsia" w:ascii="仿宋" w:hAnsi="仿宋" w:eastAsia="仿宋" w:cs="仿宋"/>
                <w:b/>
                <w:bCs/>
                <w:color w:val="000000"/>
                <w:spacing w:val="0"/>
                <w:w w:val="100"/>
                <w:position w:val="0"/>
                <w:sz w:val="24"/>
                <w:szCs w:val="24"/>
                <w:lang w:val="en-US" w:eastAsia="en-US" w:bidi="en-US"/>
              </w:rPr>
            </w:pPr>
            <w:r>
              <w:rPr>
                <w:rFonts w:hint="eastAsia" w:ascii="仿宋" w:hAnsi="仿宋" w:eastAsia="仿宋" w:cs="仿宋"/>
                <w:b/>
                <w:bCs/>
                <w:color w:val="000000"/>
                <w:spacing w:val="0"/>
                <w:w w:val="100"/>
                <w:position w:val="0"/>
                <w:sz w:val="24"/>
                <w:szCs w:val="24"/>
              </w:rPr>
              <w:t>调查</w:t>
            </w:r>
          </w:p>
        </w:tc>
        <w:tc>
          <w:tcPr>
            <w:tcW w:w="7038" w:type="dxa"/>
            <w:tcBorders>
              <w:top w:val="single" w:color="auto" w:sz="4" w:space="0"/>
              <w:left w:val="single" w:color="auto" w:sz="4" w:space="0"/>
              <w:bottom w:val="single" w:color="auto" w:sz="4" w:space="0"/>
            </w:tcBorders>
            <w:shd w:val="clear" w:color="auto" w:fill="FFFFFF"/>
            <w:vAlign w:val="top"/>
          </w:tcPr>
          <w:p>
            <w:pPr>
              <w:pStyle w:val="6"/>
              <w:keepNext w:val="0"/>
              <w:keepLines w:val="0"/>
              <w:widowControl w:val="0"/>
              <w:shd w:val="clear" w:color="auto" w:fill="auto"/>
              <w:bidi w:val="0"/>
              <w:spacing w:before="100" w:after="0" w:line="315" w:lineRule="exact"/>
              <w:ind w:left="0" w:leftChars="0" w:right="0" w:rightChars="0" w:firstLine="0" w:firstLineChars="0"/>
              <w:jc w:val="both"/>
              <w:rPr>
                <w:rFonts w:hint="eastAsia" w:ascii="仿宋" w:hAnsi="仿宋" w:eastAsia="仿宋" w:cs="仿宋"/>
                <w:color w:val="000000"/>
                <w:spacing w:val="0"/>
                <w:w w:val="100"/>
                <w:position w:val="0"/>
                <w:sz w:val="24"/>
                <w:szCs w:val="24"/>
              </w:rPr>
            </w:pPr>
            <w:r>
              <w:rPr>
                <w:rFonts w:hint="eastAsia" w:ascii="仿宋" w:hAnsi="仿宋" w:eastAsia="仿宋" w:cs="仿宋"/>
                <w:color w:val="000000"/>
                <w:spacing w:val="0"/>
                <w:w w:val="100"/>
                <w:position w:val="0"/>
                <w:sz w:val="24"/>
                <w:szCs w:val="24"/>
              </w:rPr>
              <w:t>①针对城镇集中式地下水型饮用水源补给区</w:t>
            </w:r>
            <w:r>
              <w:rPr>
                <w:rFonts w:hint="eastAsia" w:ascii="仿宋" w:hAnsi="仿宋" w:eastAsia="仿宋" w:cs="仿宋"/>
                <w:color w:val="000000"/>
                <w:spacing w:val="0"/>
                <w:w w:val="100"/>
                <w:position w:val="0"/>
                <w:sz w:val="24"/>
                <w:szCs w:val="24"/>
                <w:lang w:eastAsia="zh-CN"/>
              </w:rPr>
              <w:t>、</w:t>
            </w:r>
            <w:r>
              <w:rPr>
                <w:rFonts w:hint="eastAsia" w:ascii="仿宋" w:hAnsi="仿宋" w:eastAsia="仿宋" w:cs="仿宋"/>
                <w:color w:val="000000"/>
                <w:spacing w:val="0"/>
                <w:w w:val="100"/>
                <w:position w:val="0"/>
                <w:sz w:val="24"/>
                <w:szCs w:val="24"/>
              </w:rPr>
              <w:t>化工企业</w:t>
            </w:r>
            <w:r>
              <w:rPr>
                <w:rFonts w:hint="eastAsia" w:ascii="仿宋" w:hAnsi="仿宋" w:eastAsia="仿宋" w:cs="仿宋"/>
                <w:color w:val="000000"/>
                <w:spacing w:val="0"/>
                <w:w w:val="100"/>
                <w:position w:val="0"/>
                <w:sz w:val="24"/>
                <w:szCs w:val="24"/>
                <w:lang w:eastAsia="zh-CN"/>
              </w:rPr>
              <w:t>等区域</w:t>
            </w:r>
            <w:r>
              <w:rPr>
                <w:rFonts w:hint="eastAsia" w:ascii="仿宋" w:hAnsi="仿宋" w:eastAsia="仿宋" w:cs="仿宋"/>
                <w:color w:val="000000"/>
                <w:spacing w:val="0"/>
                <w:w w:val="100"/>
                <w:position w:val="0"/>
                <w:sz w:val="24"/>
                <w:szCs w:val="24"/>
              </w:rPr>
              <w:t>开展周边地下水基础环境状况调查。</w:t>
            </w:r>
          </w:p>
        </w:tc>
        <w:tc>
          <w:tcPr>
            <w:tcW w:w="1392"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rPr>
            </w:pPr>
            <w:r>
              <w:rPr>
                <w:rFonts w:hint="eastAsia" w:ascii="仿宋" w:hAnsi="仿宋" w:eastAsia="仿宋" w:cs="仿宋"/>
                <w:color w:val="000000"/>
                <w:spacing w:val="0"/>
                <w:w w:val="100"/>
                <w:position w:val="0"/>
                <w:sz w:val="24"/>
                <w:szCs w:val="24"/>
              </w:rPr>
              <w:t>持续推进</w:t>
            </w:r>
          </w:p>
        </w:tc>
        <w:tc>
          <w:tcPr>
            <w:tcW w:w="17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highlight w:val="none"/>
                <w:lang w:eastAsia="zh-CN"/>
              </w:rPr>
              <w:t>富锦市人民政府</w:t>
            </w:r>
          </w:p>
        </w:tc>
        <w:tc>
          <w:tcPr>
            <w:tcW w:w="229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42" w:lineRule="exact"/>
              <w:ind w:left="0" w:leftChars="0" w:right="0" w:rightChars="0" w:firstLine="0" w:firstLineChars="0"/>
              <w:jc w:val="center"/>
              <w:rPr>
                <w:rFonts w:hint="default" w:ascii="仿宋" w:hAnsi="仿宋" w:eastAsia="仿宋" w:cs="仿宋"/>
                <w:color w:val="000000"/>
                <w:spacing w:val="0"/>
                <w:w w:val="100"/>
                <w:position w:val="0"/>
                <w:sz w:val="24"/>
                <w:szCs w:val="24"/>
                <w:lang w:val="en-US" w:eastAsia="zh-CN"/>
              </w:rPr>
            </w:pPr>
            <w:r>
              <w:rPr>
                <w:rFonts w:hint="eastAsia" w:ascii="仿宋" w:hAnsi="仿宋" w:eastAsia="仿宋" w:cs="仿宋"/>
                <w:color w:val="000000"/>
                <w:spacing w:val="0"/>
                <w:w w:val="100"/>
                <w:position w:val="0"/>
                <w:sz w:val="24"/>
                <w:szCs w:val="24"/>
                <w:highlight w:val="none"/>
                <w:lang w:eastAsia="zh-CN"/>
              </w:rPr>
              <w:t>佳木斯市富锦生态环境局</w:t>
            </w:r>
          </w:p>
        </w:tc>
      </w:tr>
      <w:tr>
        <w:tblPrEx>
          <w:tblCellMar>
            <w:top w:w="0" w:type="dxa"/>
            <w:left w:w="10" w:type="dxa"/>
            <w:bottom w:w="0" w:type="dxa"/>
            <w:right w:w="10" w:type="dxa"/>
          </w:tblCellMar>
        </w:tblPrEx>
        <w:trPr>
          <w:trHeight w:val="1394" w:hRule="exact"/>
          <w:jc w:val="center"/>
        </w:trPr>
        <w:tc>
          <w:tcPr>
            <w:tcW w:w="1320" w:type="dxa"/>
            <w:vMerge w:val="continue"/>
            <w:tcBorders>
              <w:left w:val="single" w:color="auto" w:sz="4" w:space="0"/>
              <w:right w:val="single" w:color="auto" w:sz="4" w:space="0"/>
            </w:tcBorders>
            <w:shd w:val="clear" w:color="auto" w:fill="FFFFFF"/>
            <w:vAlign w:val="center"/>
          </w:tcPr>
          <w:p>
            <w:pPr>
              <w:rPr>
                <w:rFonts w:hint="eastAsia" w:ascii="仿宋" w:hAnsi="仿宋" w:eastAsia="仿宋" w:cs="仿宋"/>
                <w:color w:val="000000"/>
                <w:spacing w:val="0"/>
                <w:w w:val="100"/>
                <w:position w:val="0"/>
                <w:sz w:val="24"/>
                <w:szCs w:val="24"/>
              </w:rPr>
            </w:pPr>
          </w:p>
        </w:tc>
        <w:tc>
          <w:tcPr>
            <w:tcW w:w="1662" w:type="dxa"/>
            <w:vMerge w:val="continue"/>
            <w:tcBorders>
              <w:left w:val="single" w:color="auto" w:sz="4" w:space="0"/>
              <w:bottom w:val="nil"/>
              <w:right w:val="single" w:color="auto" w:sz="4" w:space="0"/>
            </w:tcBorders>
            <w:shd w:val="clear" w:color="auto" w:fill="FFFFFF"/>
            <w:vAlign w:val="center"/>
          </w:tcPr>
          <w:p>
            <w:pPr>
              <w:rPr>
                <w:rFonts w:hint="eastAsia" w:ascii="仿宋" w:hAnsi="仿宋" w:eastAsia="仿宋" w:cs="仿宋"/>
                <w:b/>
                <w:bCs/>
                <w:color w:val="000000"/>
                <w:spacing w:val="0"/>
                <w:w w:val="100"/>
                <w:position w:val="0"/>
                <w:sz w:val="24"/>
                <w:szCs w:val="24"/>
              </w:rPr>
            </w:pPr>
          </w:p>
        </w:tc>
        <w:tc>
          <w:tcPr>
            <w:tcW w:w="7038"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100" w:after="0" w:line="315" w:lineRule="exact"/>
              <w:ind w:left="0" w:leftChars="0" w:right="0" w:rightChars="0" w:firstLine="0" w:firstLineChars="0"/>
              <w:jc w:val="both"/>
              <w:rPr>
                <w:rFonts w:hint="eastAsia" w:ascii="仿宋" w:hAnsi="仿宋" w:eastAsia="仿宋" w:cs="仿宋"/>
                <w:color w:val="000000"/>
                <w:spacing w:val="0"/>
                <w:w w:val="100"/>
                <w:position w:val="0"/>
                <w:sz w:val="24"/>
                <w:szCs w:val="24"/>
              </w:rPr>
            </w:pPr>
            <w:r>
              <w:rPr>
                <w:rFonts w:hint="eastAsia" w:ascii="仿宋" w:hAnsi="仿宋" w:eastAsia="仿宋" w:cs="仿宋"/>
                <w:color w:val="000000"/>
                <w:spacing w:val="0"/>
                <w:w w:val="100"/>
                <w:position w:val="0"/>
                <w:sz w:val="24"/>
                <w:szCs w:val="24"/>
                <w:lang w:eastAsia="zh-CN"/>
              </w:rPr>
              <w:t>②</w:t>
            </w:r>
            <w:r>
              <w:rPr>
                <w:rFonts w:hint="eastAsia" w:ascii="仿宋" w:hAnsi="仿宋" w:eastAsia="仿宋" w:cs="仿宋"/>
                <w:color w:val="000000"/>
                <w:spacing w:val="0"/>
                <w:w w:val="100"/>
                <w:position w:val="0"/>
                <w:sz w:val="24"/>
                <w:szCs w:val="24"/>
              </w:rPr>
              <w:t>针对加油站开展周边地下水基础环境状况调查。</w:t>
            </w:r>
          </w:p>
        </w:tc>
        <w:tc>
          <w:tcPr>
            <w:tcW w:w="1392"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rPr>
            </w:pPr>
            <w:r>
              <w:rPr>
                <w:rFonts w:hint="eastAsia" w:ascii="仿宋" w:hAnsi="仿宋" w:eastAsia="仿宋" w:cs="仿宋"/>
                <w:color w:val="000000"/>
                <w:spacing w:val="0"/>
                <w:w w:val="100"/>
                <w:position w:val="0"/>
                <w:sz w:val="24"/>
                <w:szCs w:val="24"/>
              </w:rPr>
              <w:t>持续推进</w:t>
            </w:r>
          </w:p>
        </w:tc>
        <w:tc>
          <w:tcPr>
            <w:tcW w:w="17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highlight w:val="none"/>
                <w:lang w:eastAsia="zh-CN"/>
              </w:rPr>
              <w:t>富锦市人民政府</w:t>
            </w:r>
          </w:p>
        </w:tc>
        <w:tc>
          <w:tcPr>
            <w:tcW w:w="229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42" w:lineRule="exact"/>
              <w:ind w:left="0" w:leftChars="0" w:right="0" w:rightChars="0" w:firstLine="0" w:firstLineChars="0"/>
              <w:jc w:val="center"/>
              <w:rPr>
                <w:rFonts w:hint="eastAsia" w:ascii="仿宋" w:hAnsi="仿宋" w:eastAsia="仿宋" w:cs="仿宋"/>
                <w:color w:val="000000"/>
                <w:spacing w:val="0"/>
                <w:w w:val="100"/>
                <w:position w:val="0"/>
                <w:sz w:val="24"/>
                <w:szCs w:val="24"/>
                <w:lang w:val="en-US" w:eastAsia="zh-CN"/>
              </w:rPr>
            </w:pPr>
            <w:r>
              <w:rPr>
                <w:rFonts w:hint="eastAsia" w:ascii="仿宋" w:hAnsi="仿宋" w:eastAsia="仿宋" w:cs="仿宋"/>
                <w:color w:val="000000"/>
                <w:spacing w:val="0"/>
                <w:w w:val="100"/>
                <w:position w:val="0"/>
                <w:sz w:val="24"/>
                <w:szCs w:val="24"/>
                <w:highlight w:val="none"/>
                <w:lang w:eastAsia="zh-CN"/>
              </w:rPr>
              <w:t>佳木斯市富锦生态环境局，</w:t>
            </w:r>
            <w:r>
              <w:rPr>
                <w:rFonts w:hint="eastAsia" w:ascii="仿宋" w:hAnsi="仿宋" w:eastAsia="仿宋" w:cs="仿宋"/>
                <w:color w:val="000000"/>
                <w:spacing w:val="0"/>
                <w:w w:val="100"/>
                <w:position w:val="0"/>
                <w:sz w:val="24"/>
                <w:szCs w:val="24"/>
                <w:lang w:val="en-US" w:eastAsia="zh-CN"/>
              </w:rPr>
              <w:t>市商务局等</w:t>
            </w:r>
          </w:p>
        </w:tc>
      </w:tr>
      <w:tr>
        <w:tblPrEx>
          <w:tblCellMar>
            <w:top w:w="0" w:type="dxa"/>
            <w:left w:w="10" w:type="dxa"/>
            <w:bottom w:w="0" w:type="dxa"/>
            <w:right w:w="10" w:type="dxa"/>
          </w:tblCellMar>
        </w:tblPrEx>
        <w:trPr>
          <w:trHeight w:val="1017" w:hRule="exact"/>
          <w:jc w:val="center"/>
        </w:trPr>
        <w:tc>
          <w:tcPr>
            <w:tcW w:w="1320" w:type="dxa"/>
            <w:vMerge w:val="continue"/>
            <w:tcBorders>
              <w:left w:val="single" w:color="auto" w:sz="4" w:space="0"/>
              <w:bottom w:val="nil"/>
              <w:right w:val="single" w:color="auto" w:sz="4" w:space="0"/>
            </w:tcBorders>
            <w:shd w:val="clear" w:color="auto" w:fill="FFFFFF"/>
            <w:vAlign w:val="center"/>
          </w:tcPr>
          <w:p>
            <w:pPr>
              <w:rPr>
                <w:rFonts w:hint="eastAsia" w:ascii="仿宋" w:hAnsi="仿宋" w:eastAsia="仿宋" w:cs="仿宋"/>
                <w:color w:val="000000"/>
                <w:spacing w:val="0"/>
                <w:w w:val="100"/>
                <w:position w:val="0"/>
                <w:sz w:val="24"/>
                <w:szCs w:val="24"/>
              </w:rPr>
            </w:pPr>
          </w:p>
        </w:tc>
        <w:tc>
          <w:tcPr>
            <w:tcW w:w="1662" w:type="dxa"/>
            <w:vMerge w:val="continue"/>
            <w:tcBorders>
              <w:top w:val="nil"/>
              <w:left w:val="single" w:color="auto" w:sz="4" w:space="0"/>
              <w:bottom w:val="nil"/>
              <w:right w:val="single" w:color="auto" w:sz="4" w:space="0"/>
            </w:tcBorders>
            <w:shd w:val="clear" w:color="auto" w:fill="FFFFFF"/>
            <w:vAlign w:val="center"/>
          </w:tcPr>
          <w:p>
            <w:pPr>
              <w:rPr>
                <w:rFonts w:hint="eastAsia" w:ascii="仿宋" w:hAnsi="仿宋" w:eastAsia="仿宋" w:cs="仿宋"/>
                <w:b/>
                <w:bCs/>
                <w:color w:val="000000"/>
                <w:spacing w:val="0"/>
                <w:w w:val="100"/>
                <w:position w:val="0"/>
                <w:sz w:val="24"/>
                <w:szCs w:val="24"/>
              </w:rPr>
            </w:pPr>
          </w:p>
        </w:tc>
        <w:tc>
          <w:tcPr>
            <w:tcW w:w="703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100" w:after="0" w:line="315" w:lineRule="exact"/>
              <w:ind w:left="0" w:leftChars="0" w:right="0" w:rightChars="0" w:firstLine="0" w:firstLineChars="0"/>
              <w:jc w:val="both"/>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lang w:eastAsia="zh-CN"/>
              </w:rPr>
              <w:t>③</w:t>
            </w:r>
            <w:r>
              <w:rPr>
                <w:rFonts w:hint="eastAsia" w:ascii="仿宋" w:hAnsi="仿宋" w:eastAsia="仿宋" w:cs="仿宋"/>
                <w:color w:val="000000"/>
                <w:spacing w:val="0"/>
                <w:w w:val="100"/>
                <w:position w:val="0"/>
                <w:sz w:val="24"/>
                <w:szCs w:val="24"/>
              </w:rPr>
              <w:t>针对</w:t>
            </w:r>
            <w:r>
              <w:rPr>
                <w:rFonts w:hint="eastAsia" w:ascii="仿宋" w:hAnsi="仿宋" w:eastAsia="仿宋" w:cs="仿宋"/>
                <w:color w:val="000000"/>
                <w:spacing w:val="0"/>
                <w:w w:val="100"/>
                <w:position w:val="0"/>
                <w:sz w:val="24"/>
                <w:szCs w:val="24"/>
                <w:highlight w:val="none"/>
              </w:rPr>
              <w:t>垃圾填埋场和危</w:t>
            </w:r>
            <w:r>
              <w:rPr>
                <w:rFonts w:hint="eastAsia" w:ascii="仿宋" w:hAnsi="仿宋" w:eastAsia="仿宋" w:cs="仿宋"/>
                <w:color w:val="000000"/>
                <w:spacing w:val="0"/>
                <w:w w:val="100"/>
                <w:position w:val="0"/>
                <w:sz w:val="24"/>
                <w:szCs w:val="24"/>
              </w:rPr>
              <w:t>险废物处置场等区域开展周边地下水基础环境状况调查。</w:t>
            </w:r>
          </w:p>
        </w:tc>
        <w:tc>
          <w:tcPr>
            <w:tcW w:w="1392"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kern w:val="2"/>
                <w:position w:val="0"/>
                <w:sz w:val="24"/>
                <w:szCs w:val="24"/>
                <w:u w:val="none"/>
                <w:shd w:val="clear" w:color="auto" w:fill="auto"/>
                <w:lang w:val="zh-TW" w:eastAsia="zh-TW" w:bidi="zh-TW"/>
              </w:rPr>
            </w:pPr>
            <w:r>
              <w:rPr>
                <w:rFonts w:hint="eastAsia" w:ascii="仿宋" w:hAnsi="仿宋" w:eastAsia="仿宋" w:cs="仿宋"/>
                <w:color w:val="000000"/>
                <w:spacing w:val="0"/>
                <w:w w:val="100"/>
                <w:position w:val="0"/>
                <w:sz w:val="24"/>
                <w:szCs w:val="24"/>
              </w:rPr>
              <w:t>持续推进</w:t>
            </w:r>
          </w:p>
        </w:tc>
        <w:tc>
          <w:tcPr>
            <w:tcW w:w="17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kern w:val="2"/>
                <w:position w:val="0"/>
                <w:sz w:val="24"/>
                <w:szCs w:val="24"/>
                <w:u w:val="none"/>
                <w:shd w:val="clear" w:color="auto" w:fill="auto"/>
                <w:lang w:val="zh-TW" w:eastAsia="zh-CN" w:bidi="zh-TW"/>
              </w:rPr>
            </w:pPr>
            <w:r>
              <w:rPr>
                <w:rFonts w:hint="eastAsia" w:ascii="仿宋" w:hAnsi="仿宋" w:eastAsia="仿宋" w:cs="仿宋"/>
                <w:color w:val="000000"/>
                <w:spacing w:val="0"/>
                <w:w w:val="100"/>
                <w:position w:val="0"/>
                <w:sz w:val="24"/>
                <w:szCs w:val="24"/>
                <w:highlight w:val="none"/>
                <w:lang w:eastAsia="zh-CN"/>
              </w:rPr>
              <w:t>富锦市人民政府</w:t>
            </w:r>
          </w:p>
        </w:tc>
        <w:tc>
          <w:tcPr>
            <w:tcW w:w="229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42" w:lineRule="exact"/>
              <w:ind w:left="0" w:leftChars="0" w:right="0" w:rightChars="0" w:firstLine="0" w:firstLineChars="0"/>
              <w:jc w:val="center"/>
              <w:rPr>
                <w:rFonts w:hint="eastAsia" w:ascii="仿宋" w:hAnsi="仿宋" w:eastAsia="仿宋" w:cs="仿宋"/>
                <w:color w:val="000000"/>
                <w:spacing w:val="0"/>
                <w:w w:val="100"/>
                <w:position w:val="0"/>
                <w:sz w:val="24"/>
                <w:szCs w:val="24"/>
                <w:lang w:val="en-US" w:eastAsia="zh-CN"/>
              </w:rPr>
            </w:pPr>
            <w:r>
              <w:rPr>
                <w:rFonts w:hint="eastAsia" w:ascii="仿宋" w:hAnsi="仿宋" w:eastAsia="仿宋" w:cs="仿宋"/>
                <w:color w:val="000000"/>
                <w:spacing w:val="0"/>
                <w:w w:val="100"/>
                <w:position w:val="0"/>
                <w:sz w:val="24"/>
                <w:szCs w:val="24"/>
                <w:highlight w:val="none"/>
                <w:lang w:eastAsia="zh-CN"/>
              </w:rPr>
              <w:t>佳木斯市富锦生态环境局，</w:t>
            </w:r>
            <w:r>
              <w:rPr>
                <w:rFonts w:hint="eastAsia" w:ascii="仿宋" w:hAnsi="仿宋" w:eastAsia="仿宋" w:cs="仿宋"/>
                <w:color w:val="000000"/>
                <w:spacing w:val="0"/>
                <w:w w:val="100"/>
                <w:position w:val="0"/>
                <w:sz w:val="24"/>
                <w:szCs w:val="24"/>
                <w:lang w:val="en-US" w:eastAsia="zh-CN"/>
              </w:rPr>
              <w:t>市城市管理综合执法局等</w:t>
            </w:r>
          </w:p>
        </w:tc>
      </w:tr>
      <w:tr>
        <w:tblPrEx>
          <w:tblCellMar>
            <w:top w:w="0" w:type="dxa"/>
            <w:left w:w="10" w:type="dxa"/>
            <w:bottom w:w="0" w:type="dxa"/>
            <w:right w:w="10" w:type="dxa"/>
          </w:tblCellMar>
        </w:tblPrEx>
        <w:trPr>
          <w:trHeight w:val="1097" w:hRule="exact"/>
          <w:jc w:val="center"/>
        </w:trPr>
        <w:tc>
          <w:tcPr>
            <w:tcW w:w="1320" w:type="dxa"/>
            <w:vMerge w:val="restart"/>
            <w:tcBorders>
              <w:top w:val="nil"/>
              <w:left w:val="single" w:color="auto" w:sz="4" w:space="0"/>
              <w:bottom w:val="nil"/>
              <w:right w:val="single" w:color="auto" w:sz="4" w:space="0"/>
            </w:tcBorders>
            <w:shd w:val="clear" w:color="auto" w:fill="FFFFFF"/>
            <w:vAlign w:val="center"/>
          </w:tcPr>
          <w:p>
            <w:pPr>
              <w:jc w:val="center"/>
              <w:rPr>
                <w:rFonts w:hint="eastAsia" w:ascii="仿宋" w:hAnsi="仿宋" w:eastAsia="仿宋" w:cs="仿宋"/>
                <w:color w:val="000000"/>
                <w:spacing w:val="0"/>
                <w:w w:val="100"/>
                <w:position w:val="0"/>
                <w:sz w:val="24"/>
                <w:szCs w:val="24"/>
              </w:rPr>
            </w:pPr>
            <w:r>
              <w:rPr>
                <w:rFonts w:hint="eastAsia" w:ascii="仿宋" w:hAnsi="仿宋" w:eastAsia="仿宋" w:cs="仿宋"/>
                <w:color w:val="000000"/>
                <w:spacing w:val="0"/>
                <w:w w:val="100"/>
                <w:position w:val="0"/>
                <w:sz w:val="24"/>
                <w:szCs w:val="24"/>
              </w:rPr>
              <w:t>（五）以落实《水十条》任务及试点示范为抓手推进地下水重点污染源风险防控</w:t>
            </w:r>
          </w:p>
        </w:tc>
        <w:tc>
          <w:tcPr>
            <w:tcW w:w="1662" w:type="dxa"/>
            <w:vMerge w:val="restart"/>
            <w:tcBorders>
              <w:top w:val="nil"/>
              <w:left w:val="single" w:color="auto" w:sz="4" w:space="0"/>
              <w:bottom w:val="nil"/>
              <w:right w:val="single" w:color="auto" w:sz="4" w:space="0"/>
            </w:tcBorders>
            <w:shd w:val="clear" w:color="auto" w:fill="FFFFFF"/>
            <w:vAlign w:val="center"/>
          </w:tcPr>
          <w:p>
            <w:pPr>
              <w:pStyle w:val="6"/>
              <w:keepNext w:val="0"/>
              <w:keepLines w:val="0"/>
              <w:widowControl w:val="0"/>
              <w:shd w:val="clear" w:color="auto" w:fill="auto"/>
              <w:bidi w:val="0"/>
              <w:spacing w:before="0" w:after="0" w:line="320" w:lineRule="exact"/>
              <w:ind w:left="0" w:right="0" w:firstLine="0"/>
              <w:jc w:val="center"/>
              <w:rPr>
                <w:rFonts w:hint="eastAsia" w:ascii="仿宋" w:hAnsi="仿宋" w:eastAsia="仿宋" w:cs="仿宋"/>
                <w:b/>
                <w:bCs/>
                <w:color w:val="000000"/>
                <w:spacing w:val="0"/>
                <w:w w:val="100"/>
                <w:position w:val="0"/>
                <w:sz w:val="24"/>
                <w:szCs w:val="24"/>
              </w:rPr>
            </w:pPr>
            <w:r>
              <w:rPr>
                <w:rFonts w:hint="eastAsia" w:ascii="仿宋" w:hAnsi="仿宋" w:eastAsia="仿宋" w:cs="仿宋"/>
                <w:b/>
                <w:bCs/>
                <w:color w:val="000000"/>
                <w:spacing w:val="0"/>
                <w:w w:val="100"/>
                <w:position w:val="0"/>
                <w:sz w:val="24"/>
                <w:szCs w:val="24"/>
                <w:lang w:val="en-US" w:eastAsia="zh-CN" w:bidi="en-US"/>
              </w:rPr>
              <w:t>8</w:t>
            </w:r>
            <w:r>
              <w:rPr>
                <w:rFonts w:hint="eastAsia" w:ascii="仿宋" w:hAnsi="仿宋" w:eastAsia="仿宋" w:cs="仿宋"/>
                <w:b/>
                <w:bCs/>
                <w:color w:val="000000"/>
                <w:spacing w:val="0"/>
                <w:w w:val="100"/>
                <w:position w:val="0"/>
                <w:sz w:val="24"/>
                <w:szCs w:val="24"/>
                <w:lang w:val="en-US" w:eastAsia="en-US" w:bidi="en-US"/>
              </w:rPr>
              <w:t>.</w:t>
            </w:r>
            <w:r>
              <w:rPr>
                <w:rFonts w:hint="eastAsia" w:ascii="仿宋" w:hAnsi="仿宋" w:eastAsia="仿宋" w:cs="仿宋"/>
                <w:b/>
                <w:bCs/>
                <w:color w:val="000000"/>
                <w:spacing w:val="0"/>
                <w:w w:val="100"/>
                <w:position w:val="0"/>
                <w:sz w:val="24"/>
                <w:szCs w:val="24"/>
              </w:rPr>
              <w:t>落实 “水十条” 任务，持续推进地下水基础环境状况</w:t>
            </w:r>
          </w:p>
          <w:p>
            <w:pPr>
              <w:rPr>
                <w:rFonts w:hint="eastAsia" w:ascii="仿宋" w:hAnsi="仿宋" w:eastAsia="仿宋" w:cs="仿宋"/>
                <w:b/>
                <w:bCs/>
                <w:color w:val="000000"/>
                <w:spacing w:val="0"/>
                <w:w w:val="100"/>
                <w:position w:val="0"/>
                <w:sz w:val="24"/>
                <w:szCs w:val="24"/>
              </w:rPr>
            </w:pPr>
            <w:r>
              <w:rPr>
                <w:rFonts w:hint="eastAsia" w:ascii="仿宋" w:hAnsi="仿宋" w:eastAsia="仿宋" w:cs="仿宋"/>
                <w:b/>
                <w:bCs/>
                <w:color w:val="000000"/>
                <w:spacing w:val="0"/>
                <w:w w:val="100"/>
                <w:position w:val="0"/>
                <w:sz w:val="24"/>
                <w:szCs w:val="24"/>
              </w:rPr>
              <w:t>调查</w:t>
            </w:r>
          </w:p>
        </w:tc>
        <w:tc>
          <w:tcPr>
            <w:tcW w:w="7038" w:type="dxa"/>
            <w:tcBorders>
              <w:top w:val="single" w:color="auto" w:sz="4" w:space="0"/>
              <w:left w:val="single" w:color="auto" w:sz="4" w:space="0"/>
              <w:bottom w:val="single" w:color="auto" w:sz="4" w:space="0"/>
              <w:right w:val="single" w:color="auto" w:sz="4" w:space="0"/>
            </w:tcBorders>
            <w:shd w:val="clear" w:color="auto" w:fill="FFFFFF"/>
            <w:vAlign w:val="top"/>
          </w:tcPr>
          <w:p>
            <w:pPr>
              <w:pStyle w:val="6"/>
              <w:keepNext w:val="0"/>
              <w:keepLines w:val="0"/>
              <w:widowControl w:val="0"/>
              <w:shd w:val="clear" w:color="auto" w:fill="auto"/>
              <w:bidi w:val="0"/>
              <w:spacing w:before="100" w:after="0" w:line="315" w:lineRule="exact"/>
              <w:ind w:left="0" w:leftChars="0" w:right="0" w:rightChars="0" w:firstLine="0" w:firstLineChars="0"/>
              <w:jc w:val="both"/>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highlight w:val="none"/>
                <w:lang w:eastAsia="zh-CN"/>
              </w:rPr>
              <w:t>④</w:t>
            </w:r>
            <w:r>
              <w:rPr>
                <w:rFonts w:hint="eastAsia" w:ascii="仿宋" w:hAnsi="仿宋" w:eastAsia="仿宋" w:cs="仿宋"/>
                <w:color w:val="000000"/>
                <w:spacing w:val="0"/>
                <w:w w:val="100"/>
                <w:position w:val="0"/>
                <w:sz w:val="24"/>
                <w:szCs w:val="24"/>
                <w:highlight w:val="none"/>
              </w:rPr>
              <w:t>启动垃圾填埋场和危险废物处置场等区域周边调查，重点是填埋类危险废物处置场和已停运的或投运十年以上的或已发现存在渗漏问题的垃圾填埋场。</w:t>
            </w:r>
          </w:p>
        </w:tc>
        <w:tc>
          <w:tcPr>
            <w:tcW w:w="1392"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default" w:ascii="仿宋" w:hAnsi="仿宋" w:eastAsia="仿宋" w:cs="仿宋"/>
                <w:color w:val="000000"/>
                <w:spacing w:val="0"/>
                <w:w w:val="100"/>
                <w:position w:val="0"/>
                <w:sz w:val="24"/>
                <w:szCs w:val="24"/>
                <w:lang w:val="en-US" w:eastAsia="zh-CN"/>
              </w:rPr>
            </w:pPr>
            <w:r>
              <w:rPr>
                <w:rFonts w:hint="eastAsia" w:ascii="仿宋" w:hAnsi="仿宋" w:eastAsia="仿宋" w:cs="仿宋"/>
                <w:color w:val="000000"/>
                <w:spacing w:val="0"/>
                <w:w w:val="100"/>
                <w:position w:val="0"/>
                <w:sz w:val="24"/>
                <w:szCs w:val="24"/>
                <w:lang w:val="en-US" w:eastAsia="zh-CN"/>
              </w:rPr>
              <w:t>2021年启动</w:t>
            </w:r>
          </w:p>
        </w:tc>
        <w:tc>
          <w:tcPr>
            <w:tcW w:w="17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highlight w:val="none"/>
                <w:lang w:eastAsia="zh-CN"/>
              </w:rPr>
              <w:t>富锦市人民政府</w:t>
            </w:r>
          </w:p>
        </w:tc>
        <w:tc>
          <w:tcPr>
            <w:tcW w:w="229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42" w:lineRule="exact"/>
              <w:ind w:left="0" w:leftChars="0" w:right="0" w:rightChars="0" w:firstLine="0" w:firstLineChars="0"/>
              <w:jc w:val="center"/>
              <w:rPr>
                <w:rFonts w:hint="eastAsia" w:ascii="仿宋" w:hAnsi="仿宋" w:eastAsia="仿宋" w:cs="仿宋"/>
                <w:color w:val="000000"/>
                <w:spacing w:val="0"/>
                <w:w w:val="100"/>
                <w:position w:val="0"/>
                <w:sz w:val="24"/>
                <w:szCs w:val="24"/>
                <w:lang w:val="en-US" w:eastAsia="zh-CN"/>
              </w:rPr>
            </w:pPr>
            <w:r>
              <w:rPr>
                <w:rFonts w:hint="eastAsia" w:ascii="仿宋" w:hAnsi="仿宋" w:eastAsia="仿宋" w:cs="仿宋"/>
                <w:color w:val="000000"/>
                <w:spacing w:val="0"/>
                <w:w w:val="100"/>
                <w:position w:val="0"/>
                <w:sz w:val="24"/>
                <w:szCs w:val="24"/>
                <w:highlight w:val="none"/>
                <w:lang w:eastAsia="zh-CN"/>
              </w:rPr>
              <w:t>佳木斯市富锦生态环境局，</w:t>
            </w:r>
            <w:r>
              <w:rPr>
                <w:rFonts w:hint="eastAsia" w:ascii="仿宋" w:hAnsi="仿宋" w:eastAsia="仿宋" w:cs="仿宋"/>
                <w:color w:val="000000"/>
                <w:spacing w:val="0"/>
                <w:w w:val="100"/>
                <w:position w:val="0"/>
                <w:sz w:val="24"/>
                <w:szCs w:val="24"/>
                <w:lang w:val="en-US" w:eastAsia="zh-CN"/>
              </w:rPr>
              <w:t>城市管理综合执法局等</w:t>
            </w:r>
          </w:p>
        </w:tc>
      </w:tr>
      <w:tr>
        <w:tblPrEx>
          <w:tblCellMar>
            <w:top w:w="0" w:type="dxa"/>
            <w:left w:w="10" w:type="dxa"/>
            <w:bottom w:w="0" w:type="dxa"/>
            <w:right w:w="10" w:type="dxa"/>
          </w:tblCellMar>
        </w:tblPrEx>
        <w:trPr>
          <w:trHeight w:val="802" w:hRule="exact"/>
          <w:jc w:val="center"/>
        </w:trPr>
        <w:tc>
          <w:tcPr>
            <w:tcW w:w="1320" w:type="dxa"/>
            <w:vMerge w:val="continue"/>
            <w:tcBorders>
              <w:top w:val="nil"/>
              <w:left w:val="single" w:color="auto" w:sz="4" w:space="0"/>
              <w:bottom w:val="nil"/>
              <w:right w:val="single" w:color="auto" w:sz="4" w:space="0"/>
            </w:tcBorders>
            <w:shd w:val="clear" w:color="auto" w:fill="FFFFFF"/>
            <w:vAlign w:val="center"/>
          </w:tcPr>
          <w:p>
            <w:pPr>
              <w:jc w:val="center"/>
              <w:rPr>
                <w:rFonts w:hint="eastAsia" w:ascii="仿宋" w:hAnsi="仿宋" w:eastAsia="仿宋" w:cs="仿宋"/>
                <w:color w:val="000000"/>
                <w:spacing w:val="0"/>
                <w:w w:val="100"/>
                <w:position w:val="0"/>
                <w:sz w:val="24"/>
                <w:szCs w:val="24"/>
              </w:rPr>
            </w:pPr>
          </w:p>
        </w:tc>
        <w:tc>
          <w:tcPr>
            <w:tcW w:w="1662" w:type="dxa"/>
            <w:vMerge w:val="continue"/>
            <w:tcBorders>
              <w:top w:val="nil"/>
              <w:left w:val="single" w:color="auto" w:sz="4" w:space="0"/>
              <w:right w:val="single" w:color="auto" w:sz="4" w:space="0"/>
            </w:tcBorders>
            <w:shd w:val="clear" w:color="auto" w:fill="FFFFFF"/>
            <w:vAlign w:val="center"/>
          </w:tcPr>
          <w:p>
            <w:pPr>
              <w:rPr>
                <w:rFonts w:hint="eastAsia" w:ascii="仿宋" w:hAnsi="仿宋" w:eastAsia="仿宋" w:cs="仿宋"/>
                <w:b/>
                <w:bCs/>
                <w:color w:val="000000"/>
                <w:spacing w:val="0"/>
                <w:w w:val="100"/>
                <w:position w:val="0"/>
                <w:sz w:val="24"/>
                <w:szCs w:val="24"/>
              </w:rPr>
            </w:pPr>
          </w:p>
        </w:tc>
        <w:tc>
          <w:tcPr>
            <w:tcW w:w="7038"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312" w:lineRule="exact"/>
              <w:ind w:left="0" w:leftChars="0" w:right="0" w:rightChars="0" w:firstLine="0" w:firstLineChars="0"/>
              <w:jc w:val="both"/>
              <w:rPr>
                <w:rFonts w:hint="eastAsia" w:ascii="仿宋" w:hAnsi="仿宋" w:eastAsia="仿宋" w:cs="仿宋"/>
                <w:color w:val="000000"/>
                <w:spacing w:val="0"/>
                <w:w w:val="100"/>
                <w:position w:val="0"/>
                <w:sz w:val="24"/>
                <w:szCs w:val="24"/>
                <w:highlight w:val="none"/>
                <w:lang w:eastAsia="zh-CN"/>
              </w:rPr>
            </w:pPr>
            <w:r>
              <w:rPr>
                <w:rFonts w:hint="eastAsia" w:ascii="仿宋" w:hAnsi="仿宋" w:eastAsia="仿宋" w:cs="仿宋"/>
                <w:color w:val="000000"/>
                <w:spacing w:val="0"/>
                <w:w w:val="100"/>
                <w:position w:val="0"/>
                <w:sz w:val="24"/>
                <w:szCs w:val="24"/>
                <w:lang w:eastAsia="zh-CN"/>
              </w:rPr>
              <w:t>⑤</w:t>
            </w:r>
            <w:r>
              <w:rPr>
                <w:rFonts w:hint="eastAsia" w:ascii="仿宋" w:hAnsi="仿宋" w:eastAsia="仿宋" w:cs="仿宋"/>
                <w:color w:val="000000"/>
                <w:spacing w:val="0"/>
                <w:w w:val="100"/>
                <w:position w:val="0"/>
                <w:sz w:val="24"/>
                <w:szCs w:val="24"/>
              </w:rPr>
              <w:t>县级以上集中式地下水型饮用水源补给区、化工园区及纳入重点环境风险防控清单的化工企业周边调查。</w:t>
            </w:r>
          </w:p>
        </w:tc>
        <w:tc>
          <w:tcPr>
            <w:tcW w:w="1392"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80" w:line="240" w:lineRule="auto"/>
              <w:ind w:left="0" w:leftChars="0" w:right="0" w:rightChars="0" w:firstLine="0" w:firstLineChars="0"/>
              <w:jc w:val="center"/>
              <w:rPr>
                <w:rFonts w:hint="eastAsia" w:ascii="仿宋" w:hAnsi="仿宋" w:eastAsia="仿宋" w:cs="仿宋"/>
                <w:color w:val="000000"/>
                <w:spacing w:val="0"/>
                <w:w w:val="100"/>
                <w:position w:val="0"/>
                <w:sz w:val="24"/>
                <w:szCs w:val="24"/>
                <w:lang w:val="en-US" w:eastAsia="zh-CN"/>
              </w:rPr>
            </w:pPr>
            <w:r>
              <w:rPr>
                <w:rFonts w:hint="eastAsia" w:ascii="仿宋" w:hAnsi="仿宋" w:eastAsia="仿宋" w:cs="仿宋"/>
                <w:color w:val="000000"/>
                <w:spacing w:val="0"/>
                <w:w w:val="100"/>
                <w:position w:val="0"/>
                <w:sz w:val="24"/>
                <w:szCs w:val="24"/>
              </w:rPr>
              <w:t>202</w:t>
            </w:r>
            <w:r>
              <w:rPr>
                <w:rFonts w:hint="eastAsia" w:ascii="仿宋" w:hAnsi="仿宋" w:eastAsia="仿宋" w:cs="仿宋"/>
                <w:color w:val="000000"/>
                <w:spacing w:val="0"/>
                <w:w w:val="100"/>
                <w:position w:val="0"/>
                <w:sz w:val="24"/>
                <w:szCs w:val="24"/>
                <w:lang w:val="en-US" w:eastAsia="zh-CN"/>
              </w:rPr>
              <w:t>1</w:t>
            </w:r>
            <w:r>
              <w:rPr>
                <w:rFonts w:hint="eastAsia" w:ascii="仿宋" w:hAnsi="仿宋" w:eastAsia="仿宋" w:cs="仿宋"/>
                <w:color w:val="000000"/>
                <w:spacing w:val="0"/>
                <w:w w:val="100"/>
                <w:position w:val="0"/>
                <w:sz w:val="24"/>
                <w:szCs w:val="24"/>
              </w:rPr>
              <w:t>年启动</w:t>
            </w:r>
          </w:p>
        </w:tc>
        <w:tc>
          <w:tcPr>
            <w:tcW w:w="17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right="0" w:rightChars="0"/>
              <w:jc w:val="center"/>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highlight w:val="none"/>
                <w:lang w:eastAsia="zh-CN"/>
              </w:rPr>
              <w:t>富锦市人民政府</w:t>
            </w:r>
          </w:p>
        </w:tc>
        <w:tc>
          <w:tcPr>
            <w:tcW w:w="229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rFonts w:hint="default" w:ascii="仿宋" w:hAnsi="仿宋" w:eastAsia="仿宋" w:cs="仿宋"/>
                <w:color w:val="000000"/>
                <w:spacing w:val="0"/>
                <w:w w:val="100"/>
                <w:position w:val="0"/>
                <w:sz w:val="24"/>
                <w:szCs w:val="24"/>
                <w:lang w:val="en-US" w:eastAsia="zh-CN"/>
              </w:rPr>
            </w:pPr>
            <w:r>
              <w:rPr>
                <w:rFonts w:hint="eastAsia" w:ascii="仿宋" w:hAnsi="仿宋" w:eastAsia="仿宋" w:cs="仿宋"/>
                <w:color w:val="000000"/>
                <w:spacing w:val="0"/>
                <w:w w:val="100"/>
                <w:position w:val="0"/>
                <w:sz w:val="24"/>
                <w:szCs w:val="24"/>
                <w:highlight w:val="none"/>
                <w:lang w:eastAsia="zh-CN"/>
              </w:rPr>
              <w:t>佳木斯市富锦生态环境局</w:t>
            </w:r>
          </w:p>
        </w:tc>
      </w:tr>
      <w:tr>
        <w:tblPrEx>
          <w:tblCellMar>
            <w:top w:w="0" w:type="dxa"/>
            <w:left w:w="10" w:type="dxa"/>
            <w:bottom w:w="0" w:type="dxa"/>
            <w:right w:w="10" w:type="dxa"/>
          </w:tblCellMar>
        </w:tblPrEx>
        <w:trPr>
          <w:trHeight w:val="857" w:hRule="exact"/>
          <w:jc w:val="center"/>
        </w:trPr>
        <w:tc>
          <w:tcPr>
            <w:tcW w:w="1320" w:type="dxa"/>
            <w:vMerge w:val="continue"/>
            <w:tcBorders>
              <w:top w:val="nil"/>
              <w:left w:val="single" w:color="auto" w:sz="4" w:space="0"/>
              <w:bottom w:val="nil"/>
              <w:right w:val="single" w:color="auto" w:sz="4" w:space="0"/>
            </w:tcBorders>
            <w:shd w:val="clear" w:color="auto" w:fill="FFFFFF"/>
            <w:vAlign w:val="center"/>
          </w:tcPr>
          <w:p>
            <w:pPr>
              <w:jc w:val="center"/>
              <w:rPr>
                <w:rFonts w:hint="eastAsia" w:ascii="仿宋" w:hAnsi="仿宋" w:eastAsia="仿宋" w:cs="仿宋"/>
                <w:color w:val="000000"/>
                <w:spacing w:val="0"/>
                <w:w w:val="100"/>
                <w:position w:val="0"/>
                <w:sz w:val="24"/>
                <w:szCs w:val="24"/>
              </w:rPr>
            </w:pPr>
          </w:p>
        </w:tc>
        <w:tc>
          <w:tcPr>
            <w:tcW w:w="1662" w:type="dxa"/>
            <w:vMerge w:val="continue"/>
            <w:tcBorders>
              <w:left w:val="single" w:color="auto" w:sz="4" w:space="0"/>
              <w:right w:val="single" w:color="auto" w:sz="4" w:space="0"/>
            </w:tcBorders>
            <w:shd w:val="clear" w:color="auto" w:fill="FFFFFF"/>
            <w:vAlign w:val="center"/>
          </w:tcPr>
          <w:p>
            <w:pPr>
              <w:rPr>
                <w:rFonts w:hint="eastAsia" w:ascii="仿宋" w:hAnsi="仿宋" w:eastAsia="仿宋" w:cs="仿宋"/>
                <w:b/>
                <w:bCs/>
                <w:color w:val="000000"/>
                <w:spacing w:val="0"/>
                <w:w w:val="100"/>
                <w:position w:val="0"/>
                <w:sz w:val="24"/>
                <w:szCs w:val="24"/>
              </w:rPr>
            </w:pPr>
          </w:p>
        </w:tc>
        <w:tc>
          <w:tcPr>
            <w:tcW w:w="7038"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324" w:lineRule="exact"/>
              <w:ind w:left="0" w:leftChars="0" w:right="0" w:rightChars="0" w:firstLine="0" w:firstLineChars="0"/>
              <w:jc w:val="both"/>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lang w:eastAsia="zh-CN"/>
              </w:rPr>
              <w:t>⑥</w:t>
            </w:r>
            <w:r>
              <w:rPr>
                <w:rFonts w:hint="eastAsia" w:ascii="仿宋" w:hAnsi="仿宋" w:eastAsia="仿宋" w:cs="仿宋"/>
                <w:color w:val="000000"/>
                <w:spacing w:val="0"/>
                <w:w w:val="100"/>
                <w:position w:val="0"/>
                <w:sz w:val="24"/>
                <w:szCs w:val="24"/>
              </w:rPr>
              <w:t>针对存在人为污染的地下水，开展详细调查，评估其污染趋势和健康风险，若风险不可接受，应开展地下水污染修复（防控）工作。</w:t>
            </w:r>
          </w:p>
        </w:tc>
        <w:tc>
          <w:tcPr>
            <w:tcW w:w="1392"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rPr>
            </w:pPr>
            <w:r>
              <w:rPr>
                <w:rFonts w:hint="eastAsia" w:ascii="仿宋" w:hAnsi="仿宋" w:eastAsia="仿宋" w:cs="仿宋"/>
                <w:color w:val="000000"/>
                <w:spacing w:val="0"/>
                <w:w w:val="100"/>
                <w:position w:val="0"/>
                <w:sz w:val="24"/>
                <w:szCs w:val="24"/>
              </w:rPr>
              <w:t>持续推进</w:t>
            </w:r>
          </w:p>
        </w:tc>
        <w:tc>
          <w:tcPr>
            <w:tcW w:w="17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highlight w:val="none"/>
                <w:lang w:eastAsia="zh-CN"/>
              </w:rPr>
              <w:t>富锦市人民政府</w:t>
            </w:r>
          </w:p>
        </w:tc>
        <w:tc>
          <w:tcPr>
            <w:tcW w:w="229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lang w:val="en-US" w:eastAsia="zh-CN"/>
              </w:rPr>
            </w:pPr>
            <w:r>
              <w:rPr>
                <w:rFonts w:hint="eastAsia" w:ascii="仿宋" w:hAnsi="仿宋" w:eastAsia="仿宋" w:cs="仿宋"/>
                <w:color w:val="000000"/>
                <w:spacing w:val="0"/>
                <w:w w:val="100"/>
                <w:position w:val="0"/>
                <w:sz w:val="24"/>
                <w:szCs w:val="24"/>
                <w:highlight w:val="none"/>
                <w:lang w:eastAsia="zh-CN"/>
              </w:rPr>
              <w:t>佳木斯市富锦生态环境局，市</w:t>
            </w:r>
            <w:r>
              <w:rPr>
                <w:rFonts w:hint="eastAsia" w:ascii="仿宋" w:hAnsi="仿宋" w:eastAsia="仿宋" w:cs="仿宋"/>
                <w:color w:val="000000"/>
                <w:spacing w:val="0"/>
                <w:w w:val="100"/>
                <w:position w:val="0"/>
                <w:sz w:val="24"/>
                <w:szCs w:val="24"/>
                <w:lang w:eastAsia="zh-CN"/>
              </w:rPr>
              <w:t>卫生健康局</w:t>
            </w:r>
            <w:r>
              <w:rPr>
                <w:rFonts w:hint="eastAsia" w:ascii="仿宋" w:hAnsi="仿宋" w:eastAsia="仿宋" w:cs="仿宋"/>
                <w:color w:val="000000"/>
                <w:spacing w:val="0"/>
                <w:w w:val="100"/>
                <w:position w:val="0"/>
                <w:sz w:val="24"/>
                <w:szCs w:val="24"/>
              </w:rPr>
              <w:t>等</w:t>
            </w:r>
          </w:p>
        </w:tc>
      </w:tr>
      <w:tr>
        <w:tblPrEx>
          <w:tblCellMar>
            <w:top w:w="0" w:type="dxa"/>
            <w:left w:w="10" w:type="dxa"/>
            <w:bottom w:w="0" w:type="dxa"/>
            <w:right w:w="10" w:type="dxa"/>
          </w:tblCellMar>
        </w:tblPrEx>
        <w:trPr>
          <w:trHeight w:val="1027" w:hRule="exact"/>
          <w:jc w:val="center"/>
        </w:trPr>
        <w:tc>
          <w:tcPr>
            <w:tcW w:w="1320" w:type="dxa"/>
            <w:vMerge w:val="continue"/>
            <w:tcBorders>
              <w:top w:val="nil"/>
              <w:left w:val="single" w:color="auto" w:sz="4" w:space="0"/>
              <w:bottom w:val="nil"/>
              <w:right w:val="single" w:color="auto" w:sz="4" w:space="0"/>
            </w:tcBorders>
            <w:shd w:val="clear" w:color="auto" w:fill="FFFFFF"/>
            <w:vAlign w:val="center"/>
          </w:tcPr>
          <w:p>
            <w:pPr>
              <w:jc w:val="center"/>
              <w:rPr>
                <w:rFonts w:hint="eastAsia" w:ascii="仿宋" w:hAnsi="仿宋" w:eastAsia="仿宋" w:cs="仿宋"/>
                <w:color w:val="000000"/>
                <w:spacing w:val="0"/>
                <w:w w:val="100"/>
                <w:position w:val="0"/>
                <w:sz w:val="24"/>
                <w:szCs w:val="24"/>
              </w:rPr>
            </w:pPr>
          </w:p>
        </w:tc>
        <w:tc>
          <w:tcPr>
            <w:tcW w:w="1662" w:type="dxa"/>
            <w:vMerge w:val="continue"/>
            <w:tcBorders>
              <w:left w:val="single" w:color="auto" w:sz="4" w:space="0"/>
              <w:right w:val="single" w:color="auto" w:sz="4" w:space="0"/>
            </w:tcBorders>
            <w:shd w:val="clear" w:color="auto" w:fill="FFFFFF"/>
            <w:vAlign w:val="center"/>
          </w:tcPr>
          <w:p>
            <w:pPr>
              <w:rPr>
                <w:rFonts w:hint="eastAsia" w:ascii="仿宋" w:hAnsi="仿宋" w:eastAsia="仿宋" w:cs="仿宋"/>
                <w:b/>
                <w:bCs/>
                <w:color w:val="000000"/>
                <w:spacing w:val="0"/>
                <w:w w:val="100"/>
                <w:position w:val="0"/>
                <w:sz w:val="24"/>
                <w:szCs w:val="24"/>
              </w:rPr>
            </w:pPr>
          </w:p>
        </w:tc>
        <w:tc>
          <w:tcPr>
            <w:tcW w:w="7038"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324" w:lineRule="exact"/>
              <w:ind w:left="0" w:leftChars="0" w:right="0" w:rightChars="0" w:firstLine="0" w:firstLineChars="0"/>
              <w:jc w:val="both"/>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lang w:eastAsia="zh-CN"/>
              </w:rPr>
              <w:t>⑦市政府</w:t>
            </w:r>
            <w:r>
              <w:rPr>
                <w:rFonts w:hint="eastAsia" w:ascii="仿宋" w:hAnsi="仿宋" w:eastAsia="仿宋" w:cs="仿宋"/>
                <w:color w:val="000000"/>
                <w:spacing w:val="0"/>
                <w:w w:val="100"/>
                <w:position w:val="0"/>
                <w:sz w:val="24"/>
                <w:szCs w:val="24"/>
              </w:rPr>
              <w:t>要对高风险的化学品生产企业以及工业集聚区等可能造成地下水污染的场地开展必要的防渗处理；对有地下储罐的重点企业开展摸排登记，建立清单台账</w:t>
            </w:r>
            <w:r>
              <w:rPr>
                <w:rFonts w:hint="eastAsia" w:ascii="仿宋" w:hAnsi="仿宋" w:eastAsia="仿宋" w:cs="仿宋"/>
                <w:color w:val="000000"/>
                <w:spacing w:val="0"/>
                <w:w w:val="100"/>
                <w:position w:val="0"/>
                <w:sz w:val="24"/>
                <w:szCs w:val="24"/>
                <w:lang w:eastAsia="zh-CN"/>
              </w:rPr>
              <w:t>。</w:t>
            </w:r>
          </w:p>
        </w:tc>
        <w:tc>
          <w:tcPr>
            <w:tcW w:w="1392"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rPr>
            </w:pPr>
            <w:r>
              <w:rPr>
                <w:rFonts w:hint="eastAsia" w:ascii="仿宋" w:hAnsi="仿宋" w:eastAsia="仿宋" w:cs="仿宋"/>
                <w:color w:val="000000"/>
                <w:spacing w:val="0"/>
                <w:w w:val="100"/>
                <w:position w:val="0"/>
                <w:sz w:val="24"/>
                <w:szCs w:val="24"/>
              </w:rPr>
              <w:t>持续推进</w:t>
            </w:r>
          </w:p>
        </w:tc>
        <w:tc>
          <w:tcPr>
            <w:tcW w:w="17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highlight w:val="none"/>
                <w:lang w:eastAsia="zh-CN"/>
              </w:rPr>
              <w:t>富锦市人民政府</w:t>
            </w:r>
          </w:p>
        </w:tc>
        <w:tc>
          <w:tcPr>
            <w:tcW w:w="229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default" w:ascii="仿宋" w:hAnsi="仿宋" w:eastAsia="仿宋" w:cs="仿宋"/>
                <w:color w:val="000000"/>
                <w:spacing w:val="0"/>
                <w:w w:val="100"/>
                <w:position w:val="0"/>
                <w:sz w:val="24"/>
                <w:szCs w:val="24"/>
                <w:lang w:val="en-US" w:eastAsia="zh-CN"/>
              </w:rPr>
            </w:pPr>
            <w:r>
              <w:rPr>
                <w:rFonts w:hint="eastAsia" w:ascii="仿宋" w:hAnsi="仿宋" w:eastAsia="仿宋" w:cs="仿宋"/>
                <w:color w:val="000000"/>
                <w:spacing w:val="0"/>
                <w:w w:val="100"/>
                <w:position w:val="0"/>
                <w:sz w:val="24"/>
                <w:szCs w:val="24"/>
                <w:highlight w:val="none"/>
                <w:lang w:eastAsia="zh-CN"/>
              </w:rPr>
              <w:t>佳木斯市富锦生态环境局</w:t>
            </w:r>
          </w:p>
        </w:tc>
      </w:tr>
      <w:tr>
        <w:tblPrEx>
          <w:tblCellMar>
            <w:top w:w="0" w:type="dxa"/>
            <w:left w:w="10" w:type="dxa"/>
            <w:bottom w:w="0" w:type="dxa"/>
            <w:right w:w="10" w:type="dxa"/>
          </w:tblCellMar>
        </w:tblPrEx>
        <w:trPr>
          <w:trHeight w:val="1037" w:hRule="exact"/>
          <w:jc w:val="center"/>
        </w:trPr>
        <w:tc>
          <w:tcPr>
            <w:tcW w:w="1320" w:type="dxa"/>
            <w:vMerge w:val="continue"/>
            <w:tcBorders>
              <w:top w:val="nil"/>
              <w:left w:val="single" w:color="auto" w:sz="4" w:space="0"/>
              <w:bottom w:val="nil"/>
              <w:right w:val="single" w:color="auto" w:sz="4" w:space="0"/>
            </w:tcBorders>
            <w:shd w:val="clear" w:color="auto" w:fill="FFFFFF"/>
            <w:vAlign w:val="center"/>
          </w:tcPr>
          <w:p>
            <w:pPr>
              <w:jc w:val="center"/>
              <w:rPr>
                <w:rFonts w:hint="eastAsia" w:ascii="仿宋" w:hAnsi="仿宋" w:eastAsia="仿宋" w:cs="仿宋"/>
                <w:color w:val="000000"/>
                <w:spacing w:val="0"/>
                <w:w w:val="100"/>
                <w:position w:val="0"/>
                <w:sz w:val="24"/>
                <w:szCs w:val="24"/>
              </w:rPr>
            </w:pPr>
          </w:p>
        </w:tc>
        <w:tc>
          <w:tcPr>
            <w:tcW w:w="1662" w:type="dxa"/>
            <w:vMerge w:val="continue"/>
            <w:tcBorders>
              <w:left w:val="single" w:color="auto" w:sz="4" w:space="0"/>
              <w:right w:val="single" w:color="auto" w:sz="4" w:space="0"/>
            </w:tcBorders>
            <w:shd w:val="clear" w:color="auto" w:fill="FFFFFF"/>
            <w:vAlign w:val="center"/>
          </w:tcPr>
          <w:p>
            <w:pPr>
              <w:rPr>
                <w:rFonts w:hint="eastAsia" w:ascii="仿宋" w:hAnsi="仿宋" w:eastAsia="仿宋" w:cs="仿宋"/>
                <w:b/>
                <w:bCs/>
                <w:color w:val="000000"/>
                <w:spacing w:val="0"/>
                <w:w w:val="100"/>
                <w:position w:val="0"/>
                <w:sz w:val="24"/>
                <w:szCs w:val="24"/>
              </w:rPr>
            </w:pPr>
          </w:p>
        </w:tc>
        <w:tc>
          <w:tcPr>
            <w:tcW w:w="7038"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324" w:lineRule="exact"/>
              <w:ind w:left="0" w:leftChars="0" w:right="0" w:rightChars="0" w:firstLine="0" w:firstLineChars="0"/>
              <w:jc w:val="both"/>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lang w:eastAsia="zh-CN"/>
              </w:rPr>
              <w:t>⑧市政府</w:t>
            </w:r>
            <w:r>
              <w:rPr>
                <w:rFonts w:hint="eastAsia" w:ascii="仿宋" w:hAnsi="仿宋" w:eastAsia="仿宋" w:cs="仿宋"/>
                <w:color w:val="000000"/>
                <w:spacing w:val="0"/>
                <w:w w:val="100"/>
                <w:position w:val="0"/>
                <w:sz w:val="24"/>
                <w:szCs w:val="24"/>
              </w:rPr>
              <w:t>要对矿山开采区、尾矿库等可能造成地下水污染的场地开展必要的防渗处理</w:t>
            </w:r>
          </w:p>
        </w:tc>
        <w:tc>
          <w:tcPr>
            <w:tcW w:w="1392"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rPr>
            </w:pPr>
            <w:r>
              <w:rPr>
                <w:rFonts w:hint="eastAsia" w:ascii="仿宋" w:hAnsi="仿宋" w:eastAsia="仿宋" w:cs="仿宋"/>
                <w:color w:val="000000"/>
                <w:spacing w:val="0"/>
                <w:w w:val="100"/>
                <w:position w:val="0"/>
                <w:sz w:val="24"/>
                <w:szCs w:val="24"/>
              </w:rPr>
              <w:t>持续推进</w:t>
            </w:r>
          </w:p>
        </w:tc>
        <w:tc>
          <w:tcPr>
            <w:tcW w:w="17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highlight w:val="none"/>
                <w:lang w:eastAsia="zh-CN"/>
              </w:rPr>
              <w:t>富锦市人民政府</w:t>
            </w:r>
          </w:p>
        </w:tc>
        <w:tc>
          <w:tcPr>
            <w:tcW w:w="229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42" w:lineRule="exact"/>
              <w:ind w:left="0" w:leftChars="0" w:right="0" w:rightChars="0" w:firstLine="0" w:firstLineChars="0"/>
              <w:jc w:val="both"/>
              <w:rPr>
                <w:rFonts w:hint="default" w:ascii="仿宋" w:hAnsi="仿宋" w:eastAsia="仿宋" w:cs="仿宋"/>
                <w:color w:val="000000"/>
                <w:spacing w:val="0"/>
                <w:w w:val="100"/>
                <w:position w:val="0"/>
                <w:sz w:val="24"/>
                <w:szCs w:val="24"/>
                <w:lang w:val="en-US" w:eastAsia="zh-CN"/>
              </w:rPr>
            </w:pPr>
            <w:r>
              <w:rPr>
                <w:rFonts w:hint="eastAsia" w:ascii="仿宋" w:hAnsi="仿宋" w:eastAsia="仿宋" w:cs="仿宋"/>
                <w:color w:val="000000"/>
                <w:spacing w:val="0"/>
                <w:w w:val="100"/>
                <w:position w:val="0"/>
                <w:sz w:val="24"/>
                <w:szCs w:val="24"/>
                <w:highlight w:val="none"/>
                <w:lang w:eastAsia="zh-CN"/>
              </w:rPr>
              <w:t>佳木斯市富锦生态环境局，市自</w:t>
            </w:r>
            <w:r>
              <w:rPr>
                <w:rFonts w:hint="eastAsia" w:ascii="仿宋" w:hAnsi="仿宋" w:eastAsia="仿宋" w:cs="仿宋"/>
                <w:color w:val="000000"/>
                <w:spacing w:val="0"/>
                <w:w w:val="100"/>
                <w:position w:val="0"/>
                <w:sz w:val="24"/>
                <w:szCs w:val="24"/>
                <w:lang w:eastAsia="zh-CN"/>
              </w:rPr>
              <w:t>然资源局等</w:t>
            </w:r>
          </w:p>
        </w:tc>
      </w:tr>
      <w:tr>
        <w:tblPrEx>
          <w:tblCellMar>
            <w:top w:w="0" w:type="dxa"/>
            <w:left w:w="10" w:type="dxa"/>
            <w:bottom w:w="0" w:type="dxa"/>
            <w:right w:w="10" w:type="dxa"/>
          </w:tblCellMar>
        </w:tblPrEx>
        <w:trPr>
          <w:trHeight w:val="1022" w:hRule="exact"/>
          <w:jc w:val="center"/>
        </w:trPr>
        <w:tc>
          <w:tcPr>
            <w:tcW w:w="1320" w:type="dxa"/>
            <w:vMerge w:val="continue"/>
            <w:tcBorders>
              <w:top w:val="nil"/>
              <w:left w:val="single" w:color="auto" w:sz="4" w:space="0"/>
              <w:bottom w:val="nil"/>
              <w:right w:val="single" w:color="auto" w:sz="4" w:space="0"/>
            </w:tcBorders>
            <w:shd w:val="clear" w:color="auto" w:fill="FFFFFF"/>
            <w:vAlign w:val="center"/>
          </w:tcPr>
          <w:p>
            <w:pPr>
              <w:jc w:val="center"/>
              <w:rPr>
                <w:rFonts w:hint="eastAsia" w:ascii="仿宋" w:hAnsi="仿宋" w:eastAsia="仿宋" w:cs="仿宋"/>
                <w:color w:val="000000"/>
                <w:spacing w:val="0"/>
                <w:w w:val="100"/>
                <w:position w:val="0"/>
                <w:sz w:val="24"/>
                <w:szCs w:val="24"/>
              </w:rPr>
            </w:pPr>
          </w:p>
        </w:tc>
        <w:tc>
          <w:tcPr>
            <w:tcW w:w="1662" w:type="dxa"/>
            <w:vMerge w:val="continue"/>
            <w:tcBorders>
              <w:left w:val="single" w:color="auto" w:sz="4" w:space="0"/>
              <w:right w:val="single" w:color="auto" w:sz="4" w:space="0"/>
            </w:tcBorders>
            <w:shd w:val="clear" w:color="auto" w:fill="FFFFFF"/>
            <w:vAlign w:val="center"/>
          </w:tcPr>
          <w:p>
            <w:pPr>
              <w:rPr>
                <w:rFonts w:hint="eastAsia" w:ascii="仿宋" w:hAnsi="仿宋" w:eastAsia="仿宋" w:cs="仿宋"/>
                <w:b/>
                <w:bCs/>
                <w:color w:val="000000"/>
                <w:spacing w:val="0"/>
                <w:w w:val="100"/>
                <w:position w:val="0"/>
                <w:sz w:val="24"/>
                <w:szCs w:val="24"/>
              </w:rPr>
            </w:pPr>
          </w:p>
        </w:tc>
        <w:tc>
          <w:tcPr>
            <w:tcW w:w="7038"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324" w:lineRule="exact"/>
              <w:ind w:left="0" w:leftChars="0" w:right="0" w:rightChars="0" w:firstLine="0" w:firstLineChars="0"/>
              <w:jc w:val="both"/>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lang w:eastAsia="zh-CN"/>
              </w:rPr>
              <w:t>⑨市政府</w:t>
            </w:r>
            <w:r>
              <w:rPr>
                <w:rFonts w:hint="eastAsia" w:ascii="仿宋" w:hAnsi="仿宋" w:eastAsia="仿宋" w:cs="仿宋"/>
                <w:color w:val="000000"/>
                <w:spacing w:val="0"/>
                <w:w w:val="100"/>
                <w:position w:val="0"/>
                <w:sz w:val="24"/>
                <w:szCs w:val="24"/>
              </w:rPr>
              <w:t>要对危险废物处置场、垃圾填埋场等可能造成地下水污染的场地开展必要的防渗处理</w:t>
            </w:r>
            <w:r>
              <w:rPr>
                <w:rFonts w:hint="eastAsia" w:ascii="仿宋" w:hAnsi="仿宋" w:eastAsia="仿宋" w:cs="仿宋"/>
                <w:color w:val="000000"/>
                <w:spacing w:val="0"/>
                <w:w w:val="100"/>
                <w:position w:val="0"/>
                <w:sz w:val="24"/>
                <w:szCs w:val="24"/>
                <w:lang w:eastAsia="zh-CN"/>
              </w:rPr>
              <w:t>。</w:t>
            </w:r>
          </w:p>
        </w:tc>
        <w:tc>
          <w:tcPr>
            <w:tcW w:w="1392"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rPr>
            </w:pPr>
            <w:r>
              <w:rPr>
                <w:rFonts w:hint="eastAsia" w:ascii="仿宋" w:hAnsi="仿宋" w:eastAsia="仿宋" w:cs="仿宋"/>
                <w:color w:val="000000"/>
                <w:spacing w:val="0"/>
                <w:w w:val="100"/>
                <w:position w:val="0"/>
                <w:sz w:val="24"/>
                <w:szCs w:val="24"/>
              </w:rPr>
              <w:t>持续推进</w:t>
            </w:r>
          </w:p>
        </w:tc>
        <w:tc>
          <w:tcPr>
            <w:tcW w:w="17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highlight w:val="none"/>
                <w:lang w:eastAsia="zh-CN"/>
              </w:rPr>
              <w:t>富锦市人民政府</w:t>
            </w:r>
          </w:p>
        </w:tc>
        <w:tc>
          <w:tcPr>
            <w:tcW w:w="229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42" w:lineRule="exact"/>
              <w:ind w:left="0" w:leftChars="0" w:right="0" w:rightChars="0" w:firstLine="0" w:firstLineChars="0"/>
              <w:jc w:val="center"/>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highlight w:val="none"/>
                <w:lang w:eastAsia="zh-CN"/>
              </w:rPr>
              <w:t>佳木斯市富锦生态环境局，</w:t>
            </w:r>
            <w:r>
              <w:rPr>
                <w:rFonts w:hint="eastAsia" w:ascii="仿宋" w:hAnsi="仿宋" w:eastAsia="仿宋" w:cs="仿宋"/>
                <w:color w:val="000000"/>
                <w:spacing w:val="0"/>
                <w:w w:val="100"/>
                <w:position w:val="0"/>
                <w:sz w:val="24"/>
                <w:szCs w:val="24"/>
                <w:lang w:val="en-US" w:eastAsia="zh-CN"/>
              </w:rPr>
              <w:t>市城市管理综合执法局等</w:t>
            </w:r>
          </w:p>
        </w:tc>
      </w:tr>
      <w:tr>
        <w:tblPrEx>
          <w:tblCellMar>
            <w:top w:w="0" w:type="dxa"/>
            <w:left w:w="10" w:type="dxa"/>
            <w:bottom w:w="0" w:type="dxa"/>
            <w:right w:w="10" w:type="dxa"/>
          </w:tblCellMar>
        </w:tblPrEx>
        <w:trPr>
          <w:trHeight w:val="1337" w:hRule="exact"/>
          <w:jc w:val="center"/>
        </w:trPr>
        <w:tc>
          <w:tcPr>
            <w:tcW w:w="1320" w:type="dxa"/>
            <w:vMerge w:val="continue"/>
            <w:tcBorders>
              <w:top w:val="nil"/>
              <w:left w:val="single" w:color="auto" w:sz="4" w:space="0"/>
              <w:bottom w:val="nil"/>
              <w:right w:val="single" w:color="auto" w:sz="4" w:space="0"/>
            </w:tcBorders>
            <w:shd w:val="clear" w:color="auto" w:fill="FFFFFF"/>
            <w:vAlign w:val="center"/>
          </w:tcPr>
          <w:p>
            <w:pPr>
              <w:jc w:val="center"/>
              <w:rPr>
                <w:rFonts w:hint="eastAsia" w:ascii="仿宋" w:hAnsi="仿宋" w:eastAsia="仿宋" w:cs="仿宋"/>
                <w:color w:val="000000"/>
                <w:spacing w:val="0"/>
                <w:w w:val="100"/>
                <w:position w:val="0"/>
                <w:sz w:val="24"/>
                <w:szCs w:val="24"/>
              </w:rPr>
            </w:pPr>
          </w:p>
        </w:tc>
        <w:tc>
          <w:tcPr>
            <w:tcW w:w="1662" w:type="dxa"/>
            <w:vMerge w:val="continue"/>
            <w:tcBorders>
              <w:left w:val="single" w:color="auto" w:sz="4" w:space="0"/>
              <w:right w:val="single" w:color="auto" w:sz="4" w:space="0"/>
            </w:tcBorders>
            <w:shd w:val="clear" w:color="auto" w:fill="FFFFFF"/>
            <w:vAlign w:val="center"/>
          </w:tcPr>
          <w:p>
            <w:pPr>
              <w:rPr>
                <w:rFonts w:hint="eastAsia" w:ascii="仿宋" w:hAnsi="仿宋" w:eastAsia="仿宋" w:cs="仿宋"/>
                <w:b/>
                <w:bCs/>
                <w:color w:val="000000"/>
                <w:spacing w:val="0"/>
                <w:w w:val="100"/>
                <w:position w:val="0"/>
                <w:sz w:val="24"/>
                <w:szCs w:val="24"/>
              </w:rPr>
            </w:pPr>
          </w:p>
        </w:tc>
        <w:tc>
          <w:tcPr>
            <w:tcW w:w="7038"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324" w:lineRule="exact"/>
              <w:ind w:left="0" w:leftChars="0" w:right="0" w:rightChars="0" w:firstLine="0" w:firstLineChars="0"/>
              <w:jc w:val="both"/>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lang w:eastAsia="zh-CN"/>
              </w:rPr>
              <w:t>⑩</w:t>
            </w:r>
            <w:r>
              <w:rPr>
                <w:rFonts w:hint="eastAsia" w:ascii="仿宋" w:hAnsi="仿宋" w:eastAsia="仿宋" w:cs="仿宋"/>
                <w:color w:val="000000"/>
                <w:spacing w:val="0"/>
                <w:w w:val="100"/>
                <w:position w:val="0"/>
                <w:sz w:val="24"/>
                <w:szCs w:val="24"/>
              </w:rPr>
              <w:t>公布地下水污染场地清单并开展修复试点</w:t>
            </w:r>
            <w:r>
              <w:rPr>
                <w:rFonts w:hint="eastAsia" w:ascii="仿宋" w:hAnsi="仿宋" w:eastAsia="仿宋" w:cs="仿宋"/>
                <w:color w:val="000000"/>
                <w:spacing w:val="0"/>
                <w:w w:val="100"/>
                <w:position w:val="0"/>
                <w:sz w:val="24"/>
                <w:szCs w:val="24"/>
                <w:lang w:eastAsia="zh-CN"/>
              </w:rPr>
              <w:t>。</w:t>
            </w:r>
            <w:r>
              <w:rPr>
                <w:rFonts w:hint="eastAsia" w:ascii="仿宋" w:hAnsi="仿宋" w:eastAsia="仿宋" w:cs="仿宋"/>
                <w:color w:val="000000"/>
                <w:spacing w:val="0"/>
                <w:w w:val="100"/>
                <w:position w:val="0"/>
                <w:sz w:val="24"/>
                <w:szCs w:val="24"/>
              </w:rPr>
              <w:t>各地要按照国家地下水污染场地清单公布办法和要求，公布环境风险大、严重影响公众健康的地下水污染场地</w:t>
            </w:r>
            <w:r>
              <w:rPr>
                <w:rFonts w:hint="eastAsia" w:ascii="仿宋" w:hAnsi="仿宋" w:eastAsia="仿宋" w:cs="仿宋"/>
                <w:color w:val="000000"/>
                <w:spacing w:val="0"/>
                <w:w w:val="100"/>
                <w:position w:val="0"/>
                <w:sz w:val="24"/>
                <w:szCs w:val="24"/>
                <w:lang w:eastAsia="zh-CN"/>
              </w:rPr>
              <w:t>清单</w:t>
            </w:r>
            <w:r>
              <w:rPr>
                <w:rFonts w:hint="eastAsia" w:ascii="仿宋" w:hAnsi="仿宋" w:eastAsia="仿宋" w:cs="仿宋"/>
                <w:color w:val="000000"/>
                <w:spacing w:val="0"/>
                <w:w w:val="100"/>
                <w:position w:val="0"/>
                <w:sz w:val="24"/>
                <w:szCs w:val="24"/>
              </w:rPr>
              <w:t>，适时开展修复试点。地下水污染场地清单公布技术要求见附件3。</w:t>
            </w:r>
          </w:p>
        </w:tc>
        <w:tc>
          <w:tcPr>
            <w:tcW w:w="1392"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rPr>
            </w:pPr>
            <w:r>
              <w:rPr>
                <w:rFonts w:hint="eastAsia" w:ascii="仿宋" w:hAnsi="仿宋" w:eastAsia="仿宋" w:cs="仿宋"/>
                <w:color w:val="000000"/>
                <w:spacing w:val="0"/>
                <w:w w:val="100"/>
                <w:position w:val="0"/>
                <w:sz w:val="24"/>
                <w:szCs w:val="24"/>
              </w:rPr>
              <w:t>持续推进</w:t>
            </w:r>
          </w:p>
        </w:tc>
        <w:tc>
          <w:tcPr>
            <w:tcW w:w="17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highlight w:val="none"/>
                <w:lang w:eastAsia="zh-CN"/>
              </w:rPr>
              <w:t>富锦市人民政府</w:t>
            </w:r>
          </w:p>
        </w:tc>
        <w:tc>
          <w:tcPr>
            <w:tcW w:w="229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100" w:line="240" w:lineRule="auto"/>
              <w:ind w:left="0" w:right="0" w:firstLine="0"/>
              <w:jc w:val="center"/>
              <w:rPr>
                <w:rFonts w:hint="eastAsia" w:ascii="仿宋" w:hAnsi="仿宋" w:eastAsia="仿宋" w:cs="仿宋"/>
                <w:color w:val="000000"/>
                <w:spacing w:val="0"/>
                <w:w w:val="100"/>
                <w:position w:val="0"/>
                <w:sz w:val="24"/>
                <w:szCs w:val="24"/>
                <w:lang w:val="en-US" w:eastAsia="zh-CN"/>
              </w:rPr>
            </w:pPr>
            <w:r>
              <w:rPr>
                <w:rFonts w:hint="eastAsia" w:ascii="仿宋" w:hAnsi="仿宋" w:eastAsia="仿宋" w:cs="仿宋"/>
                <w:color w:val="000000"/>
                <w:spacing w:val="0"/>
                <w:w w:val="100"/>
                <w:position w:val="0"/>
                <w:sz w:val="24"/>
                <w:szCs w:val="24"/>
                <w:highlight w:val="none"/>
                <w:lang w:eastAsia="zh-CN"/>
              </w:rPr>
              <w:t>佳木斯市富锦生态环境局，</w:t>
            </w:r>
            <w:r>
              <w:rPr>
                <w:rFonts w:hint="eastAsia" w:ascii="仿宋" w:hAnsi="仿宋" w:eastAsia="仿宋" w:cs="仿宋"/>
                <w:color w:val="000000"/>
                <w:spacing w:val="0"/>
                <w:w w:val="100"/>
                <w:position w:val="0"/>
                <w:sz w:val="24"/>
                <w:szCs w:val="24"/>
                <w:lang w:eastAsia="zh-CN"/>
              </w:rPr>
              <w:t>市卫生健康局等</w:t>
            </w:r>
          </w:p>
        </w:tc>
      </w:tr>
      <w:tr>
        <w:tblPrEx>
          <w:tblCellMar>
            <w:top w:w="0" w:type="dxa"/>
            <w:left w:w="10" w:type="dxa"/>
            <w:bottom w:w="0" w:type="dxa"/>
            <w:right w:w="10" w:type="dxa"/>
          </w:tblCellMar>
        </w:tblPrEx>
        <w:trPr>
          <w:trHeight w:val="1601" w:hRule="exact"/>
          <w:jc w:val="center"/>
        </w:trPr>
        <w:tc>
          <w:tcPr>
            <w:tcW w:w="1320" w:type="dxa"/>
            <w:vMerge w:val="continue"/>
            <w:tcBorders>
              <w:top w:val="nil"/>
              <w:left w:val="single" w:color="auto" w:sz="4" w:space="0"/>
              <w:bottom w:val="nil"/>
              <w:right w:val="single" w:color="auto" w:sz="4" w:space="0"/>
            </w:tcBorders>
            <w:shd w:val="clear" w:color="auto" w:fill="FFFFFF"/>
            <w:vAlign w:val="center"/>
          </w:tcPr>
          <w:p>
            <w:pPr>
              <w:jc w:val="center"/>
              <w:rPr>
                <w:rFonts w:hint="eastAsia" w:ascii="仿宋" w:hAnsi="仿宋" w:eastAsia="仿宋" w:cs="仿宋"/>
                <w:color w:val="000000"/>
                <w:spacing w:val="0"/>
                <w:w w:val="100"/>
                <w:position w:val="0"/>
                <w:sz w:val="24"/>
                <w:szCs w:val="24"/>
              </w:rPr>
            </w:pPr>
          </w:p>
        </w:tc>
        <w:tc>
          <w:tcPr>
            <w:tcW w:w="1662" w:type="dxa"/>
            <w:vMerge w:val="continue"/>
            <w:tcBorders>
              <w:left w:val="single" w:color="auto" w:sz="4" w:space="0"/>
              <w:bottom w:val="single" w:color="auto" w:sz="4" w:space="0"/>
              <w:right w:val="single" w:color="auto" w:sz="4" w:space="0"/>
            </w:tcBorders>
            <w:shd w:val="clear" w:color="auto" w:fill="FFFFFF"/>
            <w:vAlign w:val="center"/>
          </w:tcPr>
          <w:p>
            <w:pPr>
              <w:rPr>
                <w:rFonts w:hint="eastAsia" w:ascii="仿宋" w:hAnsi="仿宋" w:eastAsia="仿宋" w:cs="仿宋"/>
                <w:b/>
                <w:bCs/>
                <w:color w:val="000000"/>
                <w:spacing w:val="0"/>
                <w:w w:val="100"/>
                <w:position w:val="0"/>
                <w:sz w:val="24"/>
                <w:szCs w:val="24"/>
              </w:rPr>
            </w:pPr>
          </w:p>
        </w:tc>
        <w:tc>
          <w:tcPr>
            <w:tcW w:w="7038"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324" w:lineRule="exact"/>
              <w:ind w:left="0" w:leftChars="0" w:right="0" w:rightChars="0" w:firstLine="0" w:firstLineChars="0"/>
              <w:jc w:val="both"/>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lang w:eastAsia="zh-CN"/>
              </w:rPr>
              <w:t>市政府</w:t>
            </w:r>
            <w:r>
              <w:rPr>
                <w:rFonts w:hint="eastAsia" w:ascii="仿宋" w:hAnsi="仿宋" w:eastAsia="仿宋" w:cs="仿宋"/>
                <w:color w:val="000000"/>
                <w:spacing w:val="0"/>
                <w:w w:val="100"/>
                <w:position w:val="0"/>
                <w:sz w:val="24"/>
                <w:szCs w:val="24"/>
              </w:rPr>
              <w:t>要推进封井回填工作。矿井、钻井、取水并因报废、未建成或者完成勘探、试验任务的，各地要督促工程所有权人按照相关技术标准开展封井回填。</w:t>
            </w:r>
          </w:p>
        </w:tc>
        <w:tc>
          <w:tcPr>
            <w:tcW w:w="1392"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rPr>
            </w:pPr>
            <w:r>
              <w:rPr>
                <w:rFonts w:hint="eastAsia" w:ascii="仿宋" w:hAnsi="仿宋" w:eastAsia="仿宋" w:cs="仿宋"/>
                <w:color w:val="000000"/>
                <w:spacing w:val="0"/>
                <w:w w:val="100"/>
                <w:position w:val="0"/>
                <w:sz w:val="24"/>
                <w:szCs w:val="24"/>
              </w:rPr>
              <w:t>202</w:t>
            </w:r>
            <w:r>
              <w:rPr>
                <w:rFonts w:hint="eastAsia" w:ascii="仿宋" w:hAnsi="仿宋" w:eastAsia="仿宋" w:cs="仿宋"/>
                <w:color w:val="000000"/>
                <w:spacing w:val="0"/>
                <w:w w:val="100"/>
                <w:position w:val="0"/>
                <w:sz w:val="24"/>
                <w:szCs w:val="24"/>
                <w:lang w:val="en-US" w:eastAsia="zh-CN"/>
              </w:rPr>
              <w:t>1</w:t>
            </w:r>
            <w:r>
              <w:rPr>
                <w:rFonts w:hint="eastAsia" w:ascii="仿宋" w:hAnsi="仿宋" w:eastAsia="仿宋" w:cs="仿宋"/>
                <w:color w:val="000000"/>
                <w:spacing w:val="0"/>
                <w:w w:val="100"/>
                <w:position w:val="0"/>
                <w:sz w:val="24"/>
                <w:szCs w:val="24"/>
              </w:rPr>
              <w:t>年启动</w:t>
            </w:r>
          </w:p>
        </w:tc>
        <w:tc>
          <w:tcPr>
            <w:tcW w:w="17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18" w:lineRule="exact"/>
              <w:ind w:left="0" w:leftChars="0" w:right="0" w:rightChars="0" w:firstLine="0" w:firstLineChars="0"/>
              <w:jc w:val="center"/>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highlight w:val="none"/>
                <w:lang w:eastAsia="zh-CN"/>
              </w:rPr>
              <w:t>富锦市人民政府</w:t>
            </w:r>
          </w:p>
        </w:tc>
        <w:tc>
          <w:tcPr>
            <w:tcW w:w="229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lang w:eastAsia="zh-CN"/>
              </w:rPr>
              <w:t>市</w:t>
            </w:r>
            <w:r>
              <w:rPr>
                <w:rFonts w:hint="eastAsia" w:ascii="仿宋" w:hAnsi="仿宋" w:eastAsia="仿宋" w:cs="仿宋"/>
                <w:color w:val="000000"/>
                <w:spacing w:val="0"/>
                <w:w w:val="100"/>
                <w:position w:val="0"/>
                <w:sz w:val="24"/>
                <w:szCs w:val="24"/>
              </w:rPr>
              <w:t>自然资源</w:t>
            </w:r>
            <w:r>
              <w:rPr>
                <w:rFonts w:hint="eastAsia" w:ascii="仿宋" w:hAnsi="仿宋" w:eastAsia="仿宋" w:cs="仿宋"/>
                <w:color w:val="000000"/>
                <w:spacing w:val="0"/>
                <w:w w:val="100"/>
                <w:position w:val="0"/>
                <w:sz w:val="24"/>
                <w:szCs w:val="24"/>
                <w:lang w:eastAsia="zh-CN"/>
              </w:rPr>
              <w:t>局</w:t>
            </w:r>
            <w:r>
              <w:rPr>
                <w:rFonts w:hint="eastAsia" w:ascii="仿宋" w:hAnsi="仿宋" w:eastAsia="仿宋" w:cs="仿宋"/>
                <w:color w:val="000000"/>
                <w:spacing w:val="0"/>
                <w:w w:val="100"/>
                <w:position w:val="0"/>
                <w:sz w:val="24"/>
                <w:szCs w:val="24"/>
              </w:rPr>
              <w:t>、</w:t>
            </w:r>
            <w:r>
              <w:rPr>
                <w:rFonts w:hint="eastAsia" w:ascii="仿宋" w:hAnsi="仿宋" w:eastAsia="仿宋" w:cs="仿宋"/>
                <w:color w:val="000000"/>
                <w:spacing w:val="0"/>
                <w:w w:val="100"/>
                <w:position w:val="0"/>
                <w:sz w:val="24"/>
                <w:szCs w:val="24"/>
                <w:lang w:eastAsia="zh-CN"/>
              </w:rPr>
              <w:t>市水务局</w:t>
            </w:r>
            <w:r>
              <w:rPr>
                <w:rFonts w:hint="eastAsia" w:ascii="仿宋" w:hAnsi="仿宋" w:eastAsia="仿宋" w:cs="仿宋"/>
                <w:color w:val="000000"/>
                <w:spacing w:val="0"/>
                <w:w w:val="100"/>
                <w:position w:val="0"/>
                <w:sz w:val="24"/>
                <w:szCs w:val="24"/>
              </w:rPr>
              <w:t>按职责分工</w:t>
            </w:r>
            <w:r>
              <w:rPr>
                <w:rFonts w:hint="eastAsia" w:ascii="仿宋" w:hAnsi="仿宋" w:eastAsia="仿宋" w:cs="仿宋"/>
                <w:color w:val="000000"/>
                <w:spacing w:val="0"/>
                <w:w w:val="100"/>
                <w:position w:val="0"/>
                <w:sz w:val="24"/>
                <w:szCs w:val="24"/>
                <w:lang w:eastAsia="zh-CN"/>
              </w:rPr>
              <w:t>负责，</w:t>
            </w:r>
            <w:r>
              <w:rPr>
                <w:rFonts w:hint="eastAsia" w:ascii="仿宋" w:hAnsi="仿宋" w:eastAsia="仿宋" w:cs="仿宋"/>
                <w:color w:val="000000"/>
                <w:spacing w:val="0"/>
                <w:w w:val="100"/>
                <w:position w:val="0"/>
                <w:sz w:val="24"/>
                <w:szCs w:val="24"/>
                <w:highlight w:val="none"/>
                <w:lang w:eastAsia="zh-CN"/>
              </w:rPr>
              <w:t>佳木斯市富锦生态环境局参与生态环境监督</w:t>
            </w:r>
          </w:p>
        </w:tc>
      </w:tr>
    </w:tbl>
    <w:p>
      <w:pPr>
        <w:spacing w:line="1" w:lineRule="exact"/>
        <w:rPr>
          <w:sz w:val="2"/>
          <w:szCs w:val="2"/>
        </w:rPr>
      </w:pPr>
      <w:r>
        <w:br w:type="page"/>
      </w:r>
    </w:p>
    <w:p>
      <w:pPr>
        <w:ind w:firstLine="640" w:firstLineChars="200"/>
        <w:jc w:val="both"/>
        <w:rPr>
          <w:rFonts w:hint="eastAsia" w:ascii="仿宋" w:hAnsi="仿宋" w:eastAsia="仿宋" w:cs="仿宋"/>
          <w:sz w:val="32"/>
          <w:szCs w:val="32"/>
          <w:lang w:eastAsia="zh-CN"/>
        </w:rPr>
        <w:sectPr>
          <w:footerReference r:id="rId3" w:type="default"/>
          <w:pgSz w:w="16838" w:h="11906" w:orient="landscape"/>
          <w:pgMar w:top="1800" w:right="1440" w:bottom="1800" w:left="1440" w:header="851" w:footer="992" w:gutter="0"/>
          <w:pgNumType w:fmt="decimal"/>
          <w:cols w:space="425" w:num="1"/>
          <w:docGrid w:type="lines" w:linePitch="312" w:charSpace="0"/>
        </w:sect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jc w:val="center"/>
        <w:rPr>
          <w:rFonts w:hint="default" w:ascii="仿宋" w:hAnsi="仿宋" w:eastAsia="仿宋" w:cs="仿宋"/>
          <w:sz w:val="32"/>
          <w:szCs w:val="32"/>
          <w:lang w:val="en-US" w:eastAsia="zh-CN"/>
        </w:rPr>
      </w:pPr>
      <w:r>
        <w:rPr>
          <w:rFonts w:hint="eastAsia" w:ascii="华文中宋" w:hAnsi="华文中宋" w:eastAsia="华文中宋" w:cs="华文中宋"/>
          <w:sz w:val="44"/>
          <w:szCs w:val="44"/>
          <w:lang w:val="en-US" w:eastAsia="zh-CN"/>
        </w:rPr>
        <w:t>地下水污染防治分区划分技术要求</w:t>
      </w:r>
    </w:p>
    <w:p>
      <w:pPr>
        <w:ind w:firstLine="640" w:firstLineChars="200"/>
        <w:jc w:val="both"/>
        <w:rPr>
          <w:rFonts w:hint="eastAsia" w:ascii="黑体" w:hAnsi="黑体" w:eastAsia="黑体" w:cs="黑体"/>
          <w:sz w:val="32"/>
          <w:szCs w:val="32"/>
          <w:lang w:val="en-US" w:eastAsia="zh-CN"/>
        </w:rPr>
      </w:pP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一、工作内容</w:t>
      </w:r>
    </w:p>
    <w:p>
      <w:pPr>
        <w:ind w:firstLine="640" w:firstLineChars="200"/>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综合考虑地下水水文地质结构、脆弱性、污染状况、水资源禀赋和行政区划等因素，建立地下水污染防治分区体系，划定地下水污染保护区、防控区及治理区。</w:t>
      </w:r>
    </w:p>
    <w:p>
      <w:pPr>
        <w:ind w:firstLine="640" w:firstLineChars="200"/>
        <w:jc w:val="both"/>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二、工作范围</w:t>
      </w:r>
    </w:p>
    <w:p>
      <w:pPr>
        <w:ind w:firstLine="640" w:firstLineChars="200"/>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以市、县行政区为评估范围。</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三、工作流程</w:t>
      </w:r>
    </w:p>
    <w:p>
      <w:pPr>
        <w:ind w:firstLine="640" w:firstLineChars="200"/>
        <w:jc w:val="both"/>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（一）收集资料。</w:t>
      </w:r>
      <w:r>
        <w:rPr>
          <w:rFonts w:hint="default" w:ascii="仿宋" w:hAnsi="仿宋" w:eastAsia="仿宋" w:cs="仿宋"/>
          <w:sz w:val="32"/>
          <w:szCs w:val="32"/>
          <w:lang w:val="en-US" w:eastAsia="zh-CN"/>
        </w:rPr>
        <w:t>根据地下水污染源荷载、脆弱性、功能价值、污染现状评估的指标体系，收集相关数据资料，并开展必要的补充调查工作</w:t>
      </w:r>
      <w:r>
        <w:rPr>
          <w:rFonts w:hint="eastAsia" w:ascii="仿宋" w:hAnsi="仿宋" w:eastAsia="仿宋" w:cs="仿宋"/>
          <w:sz w:val="32"/>
          <w:szCs w:val="32"/>
          <w:lang w:val="en-US" w:eastAsia="zh-CN"/>
        </w:rPr>
        <w:t>。</w:t>
      </w:r>
    </w:p>
    <w:p>
      <w:pPr>
        <w:ind w:firstLine="640" w:firstLineChars="200"/>
        <w:jc w:val="both"/>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（二）地下水污染源荷载、脆弱性和功能价值的指标体系评估。</w:t>
      </w:r>
      <w:r>
        <w:rPr>
          <w:rFonts w:hint="default" w:ascii="仿宋" w:hAnsi="仿宋" w:eastAsia="仿宋" w:cs="仿宋"/>
          <w:sz w:val="32"/>
          <w:szCs w:val="32"/>
          <w:lang w:val="en-US" w:eastAsia="zh-CN"/>
        </w:rPr>
        <w:t>根据资料分析结果，采用各指标体系的评估方法，开展地下水污染源荷载分区、地下水脆弱性分区、地下水功能价值分区等工作。</w:t>
      </w:r>
    </w:p>
    <w:p>
      <w:pPr>
        <w:ind w:firstLine="640" w:firstLineChars="200"/>
        <w:jc w:val="both"/>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（三）地下水污染现状评估。</w:t>
      </w:r>
      <w:r>
        <w:rPr>
          <w:rFonts w:hint="default" w:ascii="仿宋" w:hAnsi="仿宋" w:eastAsia="仿宋" w:cs="仿宋"/>
          <w:sz w:val="32"/>
          <w:szCs w:val="32"/>
          <w:lang w:val="en-US" w:eastAsia="zh-CN"/>
        </w:rPr>
        <w:t>根据地下水质量目标、标准限值、对照值（或背景值）开展地下水污染现状评估，评估指标主要是“三氮</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重金属和有机物等污染指标，形成污染分布图。</w:t>
      </w:r>
    </w:p>
    <w:p>
      <w:pPr>
        <w:ind w:firstLine="640" w:firstLineChars="200"/>
        <w:jc w:val="both"/>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（四）地下水污染防治分区划分。</w:t>
      </w:r>
      <w:r>
        <w:rPr>
          <w:rFonts w:hint="default" w:ascii="仿宋" w:hAnsi="仿宋" w:eastAsia="仿宋" w:cs="仿宋"/>
          <w:sz w:val="32"/>
          <w:szCs w:val="32"/>
          <w:lang w:val="en-US" w:eastAsia="zh-CN"/>
        </w:rPr>
        <w:t>根据地下水使用功能、污染现状评估结果、地下水污染源荷载、脆弱性等，划分为保护区、防控区、治理区，提出针对性的地下水污染防治对策建议。</w:t>
      </w:r>
    </w:p>
    <w:p>
      <w:pPr>
        <w:ind w:firstLine="640" w:firstLineChars="200"/>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具体划分技术方法见《地下水污染防治工作指南（试行）》 （环办函〔2014〕99号）。</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sectPr>
          <w:pgSz w:w="11906" w:h="16838"/>
          <w:pgMar w:top="1440" w:right="1800" w:bottom="1440" w:left="1800" w:header="851" w:footer="992" w:gutter="0"/>
          <w:pgNumType w:fmt="decimal"/>
          <w:cols w:space="425" w:num="1"/>
          <w:docGrid w:type="lines" w:linePitch="312" w:charSpace="0"/>
        </w:sectPr>
      </w:pPr>
    </w:p>
    <w:p>
      <w:pPr>
        <w:bidi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bidi w:val="0"/>
        <w:jc w:val="center"/>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地下水污染场地清单公布技术要求</w:t>
      </w:r>
    </w:p>
    <w:p>
      <w:pPr>
        <w:bidi w:val="0"/>
        <w:ind w:firstLine="640" w:firstLineChars="200"/>
        <w:rPr>
          <w:rFonts w:hint="eastAsia" w:ascii="黑体" w:hAnsi="黑体" w:eastAsia="黑体" w:cs="黑体"/>
          <w:sz w:val="32"/>
          <w:szCs w:val="32"/>
          <w:lang w:val="en-US" w:eastAsia="zh-CN"/>
        </w:rPr>
      </w:pPr>
    </w:p>
    <w:p>
      <w:pPr>
        <w:bidi w:val="0"/>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―、清单筛选范围</w:t>
      </w:r>
    </w:p>
    <w:p>
      <w:pPr>
        <w:bidi w:val="0"/>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化学品生产企业以及工业集聚区、矿山开采区、尾矿库、危险废物处置场、垃圾填埋场等造成地下水污染的场地。</w:t>
      </w:r>
    </w:p>
    <w:p>
      <w:pPr>
        <w:bidi w:val="0"/>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二、清单筛选原则</w:t>
      </w:r>
    </w:p>
    <w:p>
      <w:pPr>
        <w:bidi w:val="0"/>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（一）由于污染场地造成周边水源受到污染的；</w:t>
      </w:r>
    </w:p>
    <w:p>
      <w:pPr>
        <w:bidi w:val="0"/>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（二）已开展地下水环境状况调查评估或土壤污染状况详查</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发现确为人为污染且健康风险不可接受的；</w:t>
      </w:r>
    </w:p>
    <w:p>
      <w:pPr>
        <w:bidi w:val="0"/>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（三）发生过地下水污染事故或存在群众反映强烈的。</w:t>
      </w:r>
    </w:p>
    <w:p>
      <w:pPr>
        <w:bidi w:val="0"/>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三、清单公布方式</w:t>
      </w:r>
    </w:p>
    <w:p>
      <w:pPr>
        <w:bidi w:val="0"/>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各设区市要在相关网站或公共信息平台上逐年公布本行政区域内环境风险大、严重影响公众健康的地下水污染场地清单，并及时报送省生态环境厅。</w:t>
      </w:r>
    </w:p>
    <w:p>
      <w:pPr>
        <w:bidi w:val="0"/>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四、公布内容</w:t>
      </w:r>
    </w:p>
    <w:p>
      <w:r>
        <w:rPr>
          <w:rFonts w:hint="default" w:ascii="仿宋" w:hAnsi="仿宋" w:eastAsia="仿宋" w:cs="仿宋"/>
          <w:sz w:val="32"/>
          <w:szCs w:val="32"/>
          <w:lang w:val="en-US" w:eastAsia="zh-CN"/>
        </w:rPr>
        <w:t>应依法向社会公开污染场地名称、所属区县、调查边界及面积、其产生的主要污染物名称、超标情况、修复（防控）目标、整治措施及进度，主动接受监督。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AB24B0"/>
    <w:rsid w:val="069476AB"/>
    <w:rsid w:val="06F54AB8"/>
    <w:rsid w:val="0AAB24B0"/>
    <w:rsid w:val="0E9B3E36"/>
    <w:rsid w:val="0F446BC3"/>
    <w:rsid w:val="104B4986"/>
    <w:rsid w:val="14B11856"/>
    <w:rsid w:val="2F185711"/>
    <w:rsid w:val="40714B55"/>
    <w:rsid w:val="51486D8A"/>
    <w:rsid w:val="5843633E"/>
    <w:rsid w:val="5F871ABE"/>
    <w:rsid w:val="5FC008CB"/>
    <w:rsid w:val="60B32DAF"/>
    <w:rsid w:val="657A0DF7"/>
    <w:rsid w:val="6F597C49"/>
    <w:rsid w:val="6F6E3364"/>
    <w:rsid w:val="74480849"/>
    <w:rsid w:val="7485309A"/>
    <w:rsid w:val="7FFB5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1"/>
    <w:basedOn w:val="1"/>
    <w:qFormat/>
    <w:uiPriority w:val="0"/>
    <w:pPr>
      <w:widowControl w:val="0"/>
      <w:shd w:val="clear" w:color="auto" w:fill="auto"/>
      <w:spacing w:line="418" w:lineRule="auto"/>
      <w:ind w:firstLine="400"/>
    </w:pPr>
    <w:rPr>
      <w:rFonts w:ascii="宋体" w:hAnsi="宋体" w:eastAsia="宋体" w:cs="宋体"/>
      <w:sz w:val="30"/>
      <w:szCs w:val="30"/>
      <w:u w:val="none"/>
      <w:shd w:val="clear" w:color="auto" w:fill="auto"/>
      <w:lang w:val="zh-TW" w:eastAsia="zh-TW" w:bidi="zh-TW"/>
    </w:rPr>
  </w:style>
  <w:style w:type="paragraph" w:customStyle="1" w:styleId="5">
    <w:name w:val="Heading #1|1"/>
    <w:basedOn w:val="1"/>
    <w:qFormat/>
    <w:uiPriority w:val="0"/>
    <w:pPr>
      <w:widowControl w:val="0"/>
      <w:shd w:val="clear" w:color="auto" w:fill="auto"/>
      <w:spacing w:before="130" w:after="470" w:line="612" w:lineRule="exact"/>
      <w:jc w:val="center"/>
      <w:outlineLvl w:val="0"/>
    </w:pPr>
    <w:rPr>
      <w:rFonts w:ascii="宋体" w:hAnsi="宋体" w:eastAsia="宋体" w:cs="宋体"/>
      <w:sz w:val="44"/>
      <w:szCs w:val="44"/>
      <w:u w:val="none"/>
      <w:shd w:val="clear" w:color="auto" w:fill="auto"/>
      <w:lang w:val="zh-TW" w:eastAsia="zh-TW" w:bidi="zh-TW"/>
    </w:rPr>
  </w:style>
  <w:style w:type="paragraph" w:customStyle="1" w:styleId="6">
    <w:name w:val="Other|1"/>
    <w:basedOn w:val="1"/>
    <w:qFormat/>
    <w:uiPriority w:val="0"/>
    <w:pPr>
      <w:widowControl w:val="0"/>
      <w:shd w:val="clear" w:color="auto" w:fill="auto"/>
      <w:spacing w:line="418" w:lineRule="auto"/>
      <w:ind w:firstLine="400"/>
    </w:pPr>
    <w:rPr>
      <w:rFonts w:ascii="宋体" w:hAnsi="宋体" w:eastAsia="宋体" w:cs="宋体"/>
      <w:sz w:val="30"/>
      <w:szCs w:val="30"/>
      <w:u w:val="none"/>
      <w:shd w:val="clear" w:color="auto" w:fill="auto"/>
      <w:lang w:val="zh-TW" w:eastAsia="zh-TW" w:bidi="zh-TW"/>
    </w:rPr>
  </w:style>
  <w:style w:type="paragraph" w:customStyle="1" w:styleId="7">
    <w:name w:val="Header or footer|1"/>
    <w:basedOn w:val="1"/>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2021-07-06T02:04:00Z</dcterms:created>
  <dc:creator>韩先生只会哈哈哈</dc:creator>
  <cp:lastModifiedBy>王先生</cp:lastModifiedBy>
  <cp:lastPrinted>2021-08-31T01:36:00Z</cp:lastPrinted>
  <dcterms:modified xsi:type="dcterms:W3CDTF">2021-12-14T07:43:44Z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E6EA4099255943D38C13514E23544BA5</vt:lpwstr>
  </property>
</Properties>
</file>